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RR.2010.215 vom 11. Oktober 2010</w:t>
      </w:r>
    </w:p>
    <w:p>
      <w:r>
        <w:t>Bundesstrafgericht, 2010-10-11, DE</w:t>
      </w:r>
    </w:p>
    <w:p>
      <w:r>
        <w:rPr>
          <w:b/>
        </w:rPr>
        <w:t xml:space="preserve">Quelle: </w:t>
      </w:r>
      <w:r>
        <w:t>https://mcp.opencaselaw.ch/entscheid/bstger_RR.2010.215</w:t>
      </w:r>
    </w:p>
    <w:p>
      <w:r>
        <w:t>FR: TPF RR.2010.215 du 11 octobre 2010</w:t>
      </w:r>
    </w:p>
    <w:p>
      <w:r>
        <w:t>IT: TPF RR.2010.215 del 11 ottobre 2010</w:t>
      </w:r>
    </w:p>
    <w:p>
      <w:pPr>
        <w:pStyle w:val="Heading2"/>
      </w:pPr>
      <w:r>
        <w:t>Regeste</w:t>
      </w:r>
    </w:p>
    <w:p>
      <w:r>
        <w:t>Auslieferung an Serbien. Beschwerde gegen Auslieferungshaftbefehl (Art. 48 Abs. 2 IRSG). Ersatzmassnahmen und Fluchtgefahr (Art. 47 Abs. 1 lit. a und Abs. 2 IRSG).</w:t>
      </w:r>
    </w:p>
    <w:p>
      <w:pPr>
        <w:pStyle w:val="Heading2"/>
      </w:pPr>
      <w:r>
        <w:t>Erwägungen</w:t>
      </w:r>
    </w:p>
    <w:p>
      <w:r>
        <w:rPr>
          <w:b/>
        </w:rPr>
        <w:t>E. 2</w:t>
      </w:r>
    </w:p>
    <w:p>
      <w:r>
        <w:t>In Gutheissung der vorliegenden Beschwerde sei der Haftbefehl aufzuheben. Der In- haftierte sei auf freien Fuss zu setzen.</w:t>
      </w:r>
    </w:p>
    <w:p>
      <w:r>
        <w:rPr>
          <w:b/>
        </w:rPr>
        <w:t>E. 3</w:t>
      </w:r>
    </w:p>
    <w:p>
      <w:r>
        <w:t>Eventualiter sei der Inhaftierte gegen eine Kaution auf freien Fuss zu setzen. Die Kau- tion sei in einem angemessenen Verhältnis zu seinem Einkommen / seinen Vermö- gensverhältnissen und zu den vorgeworfenen Verfehlungen anzusetzen.</w:t>
      </w:r>
    </w:p>
    <w:p>
      <w:r>
        <w:rPr>
          <w:b/>
        </w:rPr>
        <w:t>E. 4</w:t>
      </w:r>
    </w:p>
    <w:p>
      <w:r>
        <w:t>Subeventualiter sei der Inhaftierte gegen eine Kaution zu entlassen mit der gleichzeiti- gen Auflage, sich zu Handen der Strafverfolgungsbehörden vorläufig in der Schweiz zur Verfügung zu halten.</w:t>
      </w:r>
    </w:p>
    <w:p>
      <w:r>
        <w:rPr>
          <w:b/>
        </w:rPr>
        <w:t>E. 5</w:t>
      </w:r>
    </w:p>
    <w:p>
      <w:r>
        <w:t>Der Beschwerdeführer bestreitet die gegen ihn erhobenen Sachverhalts- vorwürfe. In umfangreichen Ausführungen stellt er den Sachverhalt so dar, wie er sich ihm zufolge abgespielt haben könnte (act. 1, Ziff. 6c ff.).</w:t>
      </w:r>
    </w:p>
    <w:p>
      <w:r>
        <w:t>Diese Bestreitung des Sachverhalts vermag keinen Haftentlassungsgrund zu begründen (s. supra Ziff. 3). Eine Aufhebung des Auslieferungshaftbe- fehls und eine Haftentlassung rechtfertigen sich in diesem Zusammenhang lediglich dann, wenn der Verfolgte den so genannten Alibibeweis erbringt. Einen solchen hat der Beschwerdeführer nicht erbracht (s. supra Ziff. 4). Die Beschwerde erweist sich auch in diesem Punkt als offensichtlich unbe- gründet.</w:t>
      </w:r>
    </w:p>
    <w:p>
      <w:r>
        <w:rPr>
          <w:b/>
        </w:rPr>
        <w:t>E. 6.1</w:t>
      </w:r>
    </w:p>
    <w:p>
      <w:r>
        <w:t>Der Beschwerdeführer bringt ferner vor, sein Aufenthaltsort in Athen sei den serbischen Behörden bekannt gewesen. Sie hätten sich bei Erlass des Haftbefehls instrumentalisieren lassen. Es habe keinen Grund gegeben, ihn bei der Durchreise durch die Schweiz in Haft zu nehmen. In den Gerichts- akten gebe es keinen Hinweis, dass er flüchtig oder unbekannten Aufent- halts sei. Es gebe auch keinen Beweis dafür, dass ihm Aufgebote für allfäl- lige Einvernahmen zugestellt worden seien oder dass Serbien bei den grie- chischen Behörden um Rechtshilfe ersucht habe. Eine unterlassene Vorla- dung zu Einvernahmen stelle eine schwere Verletzung des ausländischen Rechts dar. Das Vorgehen der serbischen Strafverfolgungsbehörden ver- stösse gegen rechtsstaatliche Prinzipien. Sie hätten längst Zeit und Mög- lichkeiten gehabt, ein Verfahren rechtsstaatlich über die Bühne zu bringen. Ausserdem gebe es das Bezirksgericht Belgrad, welches den Haftbefehl ausgelöst habe gar nicht mehr (act. 1, Ziff. 2, 3, 7, 10, act. 6, S. 2).</w:t>
      </w:r>
    </w:p>
    <w:p>
      <w:r>
        <w:rPr>
          <w:b/>
        </w:rPr>
        <w:t>E. 6.2</w:t>
      </w:r>
    </w:p>
    <w:p>
      <w:r>
        <w:t>Gemäss der Rechtsprechung ist es nicht Sache der Rechtshilfebehörde, die Rechtskonformität der von der ersuchenden Behörde erlassenen Ver- fahrensakten zu überprüfen. Die Gültigkeit dieser Verfahrensentscheide wird nur ausnahmsweise, wenn besonders schwere Verletzungen des aus- ländischen Rechtes vorliegen, überprüft. Dies ist der Fall, wenn das Rechtshilfeersuchen rechtsmissbräuchlich erscheint und Zweifel aufkom-</w:t>
      </w:r>
    </w:p>
    <w:p>
      <w:r>
        <w:t>- 6 -</w:t>
      </w:r>
    </w:p>
    <w:p>
      <w:r>
        <w:t>men, ob die grundsätzlichen Verteidigungsrechte im ausländischen Verfah- ren gewahrt werden bzw. gewahrt worden sind (Urteil des Bundesgerichtes 1A.15/2002 vom 5. März 2002 E. 3.2; Entscheid des Bundesstrafgerichts RR.2008.257 vom 4. Dezember 2008, E. 3.2).</w:t>
      </w:r>
    </w:p>
    <w:p>
      <w:r>
        <w:rPr>
          <w:b/>
        </w:rPr>
        <w:t>E. 6.3</w:t>
      </w:r>
    </w:p>
    <w:p>
      <w:r>
        <w:t>In concreto liegen keine Anhaltspunkte vor, welche auf solch schwere Ver- fahrensverletzungen des ausländischen Rechts hindeuten. Eine Überprü- fung der Rechtmässigkeit des in Serbien geführten Verfahrens, namentlich ob das Gericht, welches den Haftbefehl ausgestellt hat, noch besteht, hat daher nach dem Gesagten nicht zu erfolgen. Die sonstigen Verfahrensrü- gen sind nicht im vorliegenden Beschwerdeverfahren, sondern im Ausliefe- rungsverfahren zu prüfen (vgl. Ziff. 3). Die vorgebrachten Einwände des Beschwerdeführers rechtfertigen daher keine Aufhebung des Ausliefe- rungshaftbefehls.</w:t>
      </w:r>
    </w:p>
    <w:p>
      <w:r>
        <w:rPr>
          <w:b/>
        </w:rPr>
        <w:t>E. 7.1</w:t>
      </w:r>
    </w:p>
    <w:p>
      <w:r>
        <w:t>Der Beschwerdeführer bestreitet schliesslich das Vorliegen einer Fluchtge- fahr. Diesbezüglich wendet er ein, er sei eine Respektsperson, welche völ- lig zu Unrecht in Haft gesetzt worden sei. Als angesehener Geschäftsmann führe er 10 Firmen und sei zudem als international gefragter Experte für verschiedene Regierungen tätig. Durch seine Abwesenheit in diversen Bü- ros drohe ein grosser Schaden. Deshalb sei die Aufrechterhaltung der Haft unverhältnismässig. Er sei bereit, eine Kaution von rund CHF 250'000.-- zu leisten. Notfalls könne er bei einem Freund in Basel wohnen, wo er mit ei- ner elektronischen Überwachung durch Fussfesseln unter Hausarrest ge- stellt werden könne (act. 1, Ziff. 6, 8).</w:t>
      </w:r>
    </w:p>
    <w:p>
      <w:r>
        <w:rPr>
          <w:b/>
        </w:rPr>
        <w:t>E. 7.2</w:t>
      </w:r>
    </w:p>
    <w:p>
      <w:r>
        <w:t>Die bundesgerichtliche Rechtsprechung ist hinsichtlich der Verneinung von Fluchtgefahr überaus restriktiv und misst der Erfüllung der staatsvertragli- chen Auslieferungspflichten im Vergleich zu den Interessen des Verfolgten ausserordentlich grosses Gewicht bei (vgl. BGE 130 II 306 E. 2 S. 310 ff. m.w.H.; Entscheide des Bundesstrafgerichts RR.2007.174 vom 27. Novem- ber 2007, E. 5.2; RR.2007.72 vom 29. Mai 2007, E. 4.3; BH.2005.45 vom 20. Dezember 2005, E. 2.2.2; BH.2005.8 vom 7. April 2005, E. 2.3). Bei drohenden, hohen Freiheitsstrafen ist eine Fluchtgefahr gemäss der Recht- sprechung in der Regel trotz Niederlassungsbewilligung und familiären Bin- dungen in der Schweiz gegeben. So wurde beispielsweise die Möglichkeit einer Verurteilung zu einer langen Freiheitsstrafe als ausreichend zur Ver- weigerung der Haftentlassung betrachtet, obwohl der Verfolgte in diesem Fall über eine Niederlassungsbewilligung verfügte, seit 18 Jahren in der Schweiz wohnte, mit einer Schweizer Bürgerin verheiratet und Vater zweier</w:t>
      </w:r>
    </w:p>
    <w:p>
      <w:r>
        <w:t>- 7 -</w:t>
      </w:r>
    </w:p>
    <w:p>
      <w:r>
        <w:t>Kinder im Alter von 3 und 8 Jahren war, die beide die schweizerische Nati- onalität besassen und im Kanton Tessin eingeschult waren (Urteil des Bundesgerichts 8G.45/2001 vom 15. August 2001, E. 3a).</w:t>
      </w:r>
    </w:p>
    <w:p>
      <w:r>
        <w:rPr>
          <w:b/>
        </w:rPr>
        <w:t>E. 7.3</w:t>
      </w:r>
    </w:p>
    <w:p>
      <w:r>
        <w:t>In casu liegt eine Fluchtgefahr offensichtlich vor. Dem Beschwerdeführer droht in Serbien eine empfindliche Freiheitsstrafe. Diese drohende Frei- heitsstrafe fällt bei der Beurteilung der Fluchtgefahr ins Gewicht. Ausser- dem befand sich der Beschwerdeführer bei seiner Verhaftung lediglich auf der Durchreise durch die Schweiz. Er macht weder familiäre Bindungen geltend noch ist eine Verwurzelung in der Schweiz aus anderen Gründen ersichtlich. Von einer gefestigten Bindung zur Schweiz, welche die Flucht- gefahr ausschliessen würde, kann keine Rede sein.</w:t>
      </w:r>
    </w:p>
    <w:p>
      <w:r>
        <w:t>Die Fluchtgefahr kann auch durch die angebotenen Ersatzmassnahmen nicht hinreichend gebannt werden, zumal auch die finanzielle Situation des Beschwerdeführers unklar ist. Zwar gibt er an, rund 10 Firmen zu besitzen. Sein Vermögen belaufe sich auf rund EUR 300'000.-- in bar und auf ge- schätzte Firmenwerte von rund EUR 5 Mio. Ohne detaillierte Darlegung der finanziellen Verhältnisse kann die Höhe der Kaution zurzeit jedoch nicht festgelegt werden (vgl. Urteil des Bundesgerichts 8G.11/2003 vom 21. Feb- ruar 2003, E. 5). Fehlt es an hinreichenden, diesbezüglichen Kenntnissen, kann nicht darüber befunden werden, welche Kautionssumme ausreichend und hoch genug ist, um den Beschwerdeführer an der Flucht zu hindern (vgl. hierzu BGE 130 II 306 E. 2.6 S. 312). Der Vollständigkeit halber ist anzufügen, dass das Bundesgericht auch bei Kautionen eine strenge Pra- xis pflegt und davon ausgeht, dass selbst hohe Kautionen bei nicht voll- kommen durchsichtigen finanziellen Verhältnissen eine Flucht nicht von vornherein zu verhindern vermögen (Urteil des Bundesgerichts 8G.11/2003 vom 21. Februar 2003, E. 5; vgl. auch POPP, Grundzüge der internationalen Rechtshilfe in Strafsachen, Basel 2001, N. 495 Fn. 34 m.w.H.). Ebenso wenig kommen andere Ersatzmassnahmen wie der vom Beschwerdeführer vorgeschlagene Hausarrest mit elektronischen Fussfesseln in Betracht. Diese vermögen die Fluchtgefahr für sich allein, d.h. ohne zusätzliche, den finanziellen Verhältnissen des Beschwerdeführers angepasste Kaution, nicht zu bannen (vgl. Entscheide des Bundesstrafgerichts RR.2008.294 vom 2. Dezember 2008, E. 5.3; RR.2008.214 vom 16. September 2008, E. 4.2). Die Beschwerde erweist sich somit auch hinsichtlich des Eventual- und des Subeventualbegehrens als unbegründet.</w:t>
      </w:r>
    </w:p>
    <w:p>
      <w:r>
        <w:rPr>
          <w:b/>
        </w:rPr>
        <w:t>E. 8</w:t>
      </w:r>
    </w:p>
    <w:p>
      <w:r>
        <w:t>Der Beschwerdeführer beantragt schliesslich, der vorliegenden Beschwer- de sei die aufschiebende Wirkung zu erteilen, und er sei auf freien Fuss zu setzen.</w:t>
      </w:r>
    </w:p>
    <w:p>
      <w:r>
        <w:t>- 8 -</w:t>
      </w:r>
    </w:p>
    <w:p>
      <w:r>
        <w:t>Zusammenfassend ergibt sich, dass vorliegend keine Gründe auszuma- chen sind, welche eine Auslieferung offensichtlich ausschliessen könnten oder sonst zu einer Aufhebung der Auslieferungshaft zu führen vermöch- ten. Die Beschwerde erweist sich somit als gesamthaft unbegründet und ist daher abzuweisen. Der Antrag um aufschiebende Wirkung wird mit dem vorliegenden Entscheid gegenstandslos.</w:t>
      </w:r>
    </w:p>
    <w:p>
      <w:r>
        <w:rPr>
          <w:b/>
        </w:rPr>
        <w:t>E. 9</w:t>
      </w:r>
    </w:p>
    <w:p>
      <w:r>
        <w:t>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Die Gerichtsgebühr ist vorlie- gend auf Fr. 3’000.-- festzusetzen (Art. 3 des Reglements über die Ge- richtsgebühren vor dem Bundesstrafgericht).</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