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RR.2010.213 vom 17. November 2010</w:t>
      </w:r>
    </w:p>
    <w:p>
      <w:r>
        <w:t>Bundesstrafgericht, 2010-11-17, FR</w:t>
      </w:r>
    </w:p>
    <w:p>
      <w:r>
        <w:rPr>
          <w:b/>
        </w:rPr>
        <w:t xml:space="preserve">Quelle: </w:t>
      </w:r>
      <w:r>
        <w:t>https://mcp.opencaselaw.ch/entscheid/bstger_RR.2010.213</w:t>
      </w:r>
    </w:p>
    <w:p>
      <w:r>
        <w:t>FR: TPF RR.2010.213 du 17 novembre 2010</w:t>
      </w:r>
    </w:p>
    <w:p>
      <w:r>
        <w:t>IT: TPF RR.2010.213 del 17 novembre 2010</w:t>
      </w:r>
    </w:p>
    <w:p>
      <w:pPr>
        <w:pStyle w:val="Heading2"/>
      </w:pPr>
      <w:r>
        <w:t>Regeste</w:t>
      </w:r>
    </w:p>
    <w:p>
      <w:r>
        <w:t>Entraide judiciaire internationale en matière pénale à la Belgique. Remise de moyens de preuve (art. 74 EIMP): principe de la proportionnalité (art. 3 CEEJ), irrecevabilité de l'argumentation à décharge.</w:t>
      </w:r>
    </w:p>
    <w:p>
      <w:pPr>
        <w:pStyle w:val="Heading2"/>
      </w:pPr>
      <w:r>
        <w:t>Erwägungen</w:t>
      </w:r>
    </w:p>
    <w:p>
      <w:r>
        <w:rPr>
          <w:b/>
        </w:rPr>
        <w:t>E. 1</w:t>
      </w:r>
    </w:p>
    <w:p>
      <w:r>
        <w:t>p. 339; 128 II 355 consid. 1 p. 357 et la jurisprudence citée). Le droit in- terne s'applique en outre lorsqu'il est plus favorable à l'octroi de l’entraide</w:t>
      </w:r>
    </w:p>
    <w:p>
      <w:r>
        <w:t>- 5 -</w:t>
      </w:r>
    </w:p>
    <w:p>
      <w:r>
        <w:t>que les traités (ATF 122 II 140 consid. 2 et les arrêts cités). Le respect des droits fondamentaux demeure réservé (ATF 135 IV 212 consid. 2.3).</w:t>
      </w:r>
    </w:p>
    <w:p>
      <w:r>
        <w:rPr>
          <w:b/>
        </w:rPr>
        <w:t>E. 1.1</w:t>
      </w:r>
    </w:p>
    <w:p>
      <w:r>
        <w:t>L’entraide judiciaire internationale en matière pénale entre la Belgique et la Suisse est prioritairement régie par la Convention européenne d'entraide judiciaire (CEEJ, RS 0.351.1). Peut également s'appliquer en l'occurrence la Convention européenne relative au blanchiment, au dépistage, à la sai- sie et à la confiscation des produits du crime (CBl; RS 0.311.53), entrée en vigueur le 1er septembre 1993 pour la Suisse et le 1er mai 1998 pour l'Etat requérant. A compter du 12 décembre 2008, les art. 48 ss de la Convention d’application de l’Accord Schengen du 14 juin 1985 (CAAS; n° CELEX 42000A0922[02]; Journal officiel de l’Union européenne L 239 du 22 sep- tembre 2000, p. 19 à 62) s’appliquent également à l’entraide pénale entre la Suisse et la Belgique (v. arrêt du Tribunal pénal fédéral RR.2008.98 du 18 décembre 2008, consid. 1.3). Pour le surplus, l'EIMP et son ordonnance d'exécution (OEIMP; RS 351.11) règlent les questions qui ne sont pas ré- gies, explicitement ou implicitement, par les traités (ATF 130 II 337 consid.</w:t>
      </w:r>
    </w:p>
    <w:p>
      <w:r>
        <w:rPr>
          <w:b/>
        </w:rPr>
        <w:t>E. 1.2</w:t>
      </w:r>
    </w:p>
    <w:p>
      <w:r>
        <w:t>Aux termes de l’art. 80h let. b EIMP, a qualité pour recourir en matière de «petite entraide» quiconque est personnellement et directement touché par une mesure d’entraide et a un intérêt digne de protection à ce qu’elle soit annulée ou modifiée. L’art. 9a let. a OEIMP reconnaît au titulaire d’un compte bancaire la qualité pour recourir contre la remise à l’Etat requérant de documents relatifs à ce compte. En application de ces principes, la re- courante est légitimée à recourir contre la remise de la documentation rela- tive au compte n° 1 dont elle est titulaire. Formé dans les 30 jours à comp- ter de la notification de la décision querellée, le recours est formellement recevable (art. 80k EIMP).</w:t>
      </w:r>
    </w:p>
    <w:p>
      <w:r>
        <w:rPr>
          <w:b/>
        </w:rPr>
        <w:t>E. 2</w:t>
      </w:r>
    </w:p>
    <w:p>
      <w:r>
        <w:t>La recourante se plaint d’une violation du principe de la proportionnalité. Selon elle, la décision attaquée retiendrait, de manière contraire aux faits, qu’il existe une connexité suffisante entre les documents visés par la déci- sion de clôture querellée et l’objet des recherches de l’autorité requérante. La recourante allègue que, contrairement à ce qu’affirme l’autorité requé- rante, le compte n° 1 n’aurait pas été alimenté par des comptes utilisés par B.; elle affirme en revanche que le compte en question a servi à transférer des fonds vers un compte belge ouvert au nom de B. Toujours selon la re- courante, la remise des documents bancaires querellée serait, de ce fait, impropre à faire progresser l’enquête belge.</w:t>
      </w:r>
    </w:p>
    <w:p>
      <w:r>
        <w:rPr>
          <w:b/>
        </w:rPr>
        <w:t>E. 2.1</w:t>
      </w:r>
    </w:p>
    <w:p>
      <w:r>
        <w:t>Ne sont admissibles, au regard des art. 3 CEEJ et 64 EIMP, que les mesu- 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 ment utiles à la procédure pénale instruite dans l'Etat requérant est en prin- cipe laissée à l'appréciation des autorités de poursuite. L'Etat requis ne disposant généralement pas des moyens lui permettant de se prononcer sur l'opportunité de l'administration de preuves déterminées au cours de l'instruction menée à l'étranger, il ne saurait sur ce point substituer sa pro- 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 cherche indéterminée de moyens de preuve (ATF 122 II 367 consid. 2c; 121 II 241 consid. 3a; 120 Ib 251 consid. 5c et les arrêts cités). Le principe de la proportionnalité empêche aussi l'autorité suisse d'aller au-delà des</w:t>
      </w:r>
    </w:p>
    <w:p>
      <w:r>
        <w:t>- 6 -</w:t>
      </w:r>
    </w:p>
    <w:p>
      <w:r>
        <w:t>requêtes qui lui sont adressées et d'accorder à l'Etat requérant plus qu'il n'a demandé (ATF 121 II 241 consid. 3a; 118 Ib 111 consid. 6; 117 Ib 64 consid. 5c et les arrêts cités). Au besoin, il appartient à l’Etat requis d'inter- préter la demande selon le sens que l'on peut raisonnablement lui donner; rien ne s'oppose à une interprétation large de la requête s'il est établi que toutes les conditions à l'octroi de l'entraide sont remplies; ce mode de pro- céder évite aussi une éventuelle demande complémentaire (ATF 121 II 241 consid. 3a). Sur cette base, peuvent aussi être transmis des renseigne- ments et des documents non mentionnés dans la demande (arrêt du Tribu- nal pénal fédéral RR.2010.8 du 16 avril 2010, consid. 2.2). Il incombe à la personne touchée de démontrer, de manière claire et précise, en quoi les documents et informations à transmettre excéderaient le cadre de la de- mande ou ne présenteraient aucun intérêt pour la procédure étrangère (ATF 122 II 367 consid. 2c).</w:t>
      </w:r>
    </w:p>
    <w:p>
      <w:r>
        <w:rPr>
          <w:b/>
        </w:rPr>
        <w:t>E. 2.2.1</w:t>
      </w:r>
    </w:p>
    <w:p>
      <w:r>
        <w:t>En l’espèce, l’arrestation de C. à l’aéroport de Bruxelles est à l’origine de l’enquête belge (v. supra Faits, let. A et B). L’importante somme d’agent li- quide trouvée en possession de l’intéressé, de même que les explications qu’il a fournies à ce propos étaient de nature à éveiller des soupçons à son encontre. Le fait de transporter des sommes importantes d’argent liquide d’un pays à un autre constitue en effet un indice de blanchiment d’argent. Un tel modus operandi peut viser à entraver l’identification de l’origine, la découverte ou la confiscation de valeurs patrimoniales provenant d’infractions, au sens de l’art. 505 du Code pénal belge (v., en droit suisse, art. 305bis CP). L’enquête belge visait donc initialement à déterminer l’origine et la destination de l’argent saisi le 9 novembre 2006, afin d’éprouver un soupçon légitime de blanchiment existant contre C. Les sui- tes de l’enquête ont apporté des indices laissant à penser aux enquêteurs belges que la saisie du 9 novembre 2006 pouvait avoir mis en lumière l’existence d’une organisation active dans le blanchiment à grande échelle de fonds constituant le produit d’infractions pénales. En résumé, un lien a tout d’abord pu être établi entre les EUR 348'000.-- saisis le 9 novembre 2006 et la personne de B. Etendue à B., l’enquête a notamment permis d’établir que ce dernier disposait de comptes bancaires belges approvi- sionnés, à partir de 2000, principalement par des dépôts en liquide. S’agissant du volume des transferts suspects, l’autorité requérante men- tionne, pour les seuls comptes bancaires belges, un montant total de EUR 20'000'000.--. L’implication, dans certains des transferts suspects, de la so- ciété d’édition publicitaire F. a porté les enquêteurs belges a faire le lien en- tre leur enquête et une enquête portant sur une escroquerie aux encarts publicitaires (sur ce mécanisme délictueux, répandu en Europe, v. arrêt du</w:t>
      </w:r>
    </w:p>
    <w:p>
      <w:r>
        <w:t>- 7 -</w:t>
      </w:r>
    </w:p>
    <w:p>
      <w:r>
        <w:t>Tribunal pénal fédéral RR.2009.358 du 15 avril 2010, Faits, let. A). Ils soupçonnent ainsi que les comptes contrôlés par B. puissent être impliqués dans un mécanisme servant à blanchir le produit d’infractions pénales, no- tamment, le produit d’escroqueries aux encarts publicitaires.</w:t>
      </w:r>
    </w:p>
    <w:p>
      <w:r>
        <w:rPr>
          <w:b/>
        </w:rPr>
        <w:t>E. 2.2.2</w:t>
      </w:r>
    </w:p>
    <w:p>
      <w:r>
        <w:t>L’autorité requérante a examiné la documentation relative aux comptes bancaires utilisés par B., afin de déterminer l’origine et la destination des fonds y ayant transité. Elle affirme que quatre de ces comptes auraient ser- vi à procéder à des transferts suspects vers le compte n° 1, entre le 7 mai 2002 et le 18 juin 2004, pour un total de EUR 230'445.--. La recourante af- firme quant à elle avoir procédé, via le compte n° 1, à cinq virements sur un compte ouvert au nom de B. auprès de la banque G. à Bruxelles, entre juin 2002 et janvier 2003, pour un total de EUR 140'037.55 (soit EUR 15'007.49 le 26 juin 2002, EUR 60'007.48 le 3 juillet 2002, EUR 30'007.53 le 13 sep- tembre 2002, EUR 20'007.50 le 28 octobre 2002 et 15'007.55 le 13 janvier 2003; act. 1, p. 5 sv.).</w:t>
      </w:r>
    </w:p>
    <w:p>
      <w:r>
        <w:rPr>
          <w:b/>
        </w:rPr>
        <w:t>E. 2.2.3</w:t>
      </w:r>
    </w:p>
    <w:p>
      <w:r>
        <w:t>La recourante admet que le compte litigieux a servi à alimenter des comp- tes belges contrôlés par B. Or, aux termes de la demande complémentaire du 7 février 2009, l’autorité requérante soupçonne que ces comptes aient été alimentés par des avoirs d’origine illicite. Dans ces conditions, il existe un rapport objectif entre la recourante, respectivement le compte litigieux, d’une part, et la personne de B. et les infractions faisant l’objet de l’investigation belge, d’autre part.</w:t>
      </w:r>
    </w:p>
    <w:p>
      <w:r>
        <w:t>a) S’agissant des demandes tendant à la remise d’informations bancaires, il convient de transmettre tous les documents qui peuvent avoir trait au soupçon exposé dans la demande d’entraide; il doit exister un lien de connexité suffisant entre l’état de fait faisant l’objet de l’enquête pénale menée par les autorités de l’Etat requérant et les documents visés par la remise. Les autorités suisses sont tenues, au sens de la procédure d’entraide, d’assister les autorités étrangères dans la recherche de la vérité en exécutant toute mesure présentant un rapport suffisant avec l’enquête pénale à l’étranger (ATF 129 II 462 consid. 5.3; arrêts du Tribunal fédéral 1A.189/2006 du 7 février 2007, consid. 3.1; 1A.72/2006 du 13 juillet 2006, consid. 3.1).</w:t>
      </w:r>
    </w:p>
    <w:p>
      <w:r>
        <w:t>b) En l’espèce, l’autorité requérante soupçonne B. de constituer l’un des mail- lons d’un vaste système de blanchiment de fonds d’origine criminelle, à l’échelle internationale (v. supra Faits, let. A et consid. 2.2.1). Le prénommé aurait utilisé à cette fin des comptes bancaires contrôlés par lui, dans diffé- rents pays. L’enquête belge vise notamment l’élucidation d’une infraction</w:t>
      </w:r>
    </w:p>
    <w:p>
      <w:r>
        <w:t>- 8 -</w:t>
      </w:r>
    </w:p>
    <w:p>
      <w:r>
        <w:t>préalable d’escroquerie aux encarts publicitaires et la découverte éven- tuelle d’autres infractions préalables. Il n'est en effet pas rare qu'une activi- té criminelle soit découverte par le biais des profits réalisés (ATF 129 II 97 consid. 3.2).</w:t>
      </w:r>
    </w:p>
    <w:p>
      <w:r>
        <w:t>c) L’intérêt de l’autorité requérante en pareil cas de figure a conduit la juris- prudence à poser le principe selon lequel, lorsque la demande vise à éclair- cir le cheminement de fonds d'origine délictueuse, il convient d'informer l'Etat requérant de toutes les transactions opérées au nom des personnes – physiques ou morales – et des comptes impliqués dans l'affaire, même sur une période relativement étendue (ATF 121 II 241 consid. 3c). Selon la jurisprudence, le principe de l’utilité potentielle joue en effet un rôle crucial dans l’application du principe de la proportionnalité, en matière d’entraide pénale internationale. C’est le propre de l’entraide de favoriser la décou- 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 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 vrier 2010, consid. 4.1; ROBERT ZIMMERMANN, La coopération judiciaire in- ternationale en matière pénale, 3e éd., Berne 2009, n° 722, p. 673-4).</w:t>
      </w:r>
    </w:p>
    <w:p>
      <w:r>
        <w:t>d) La recourante affirme que le compte litigieux a servi à opérer cinq vire- ments sur un compte ouvert au nom de B. Compte tenu des soupçons légi- times de blanchiment pesant contre B. (v. supra consid. 2.2.1), le compte n° 1 est susceptible d’avoir reçu le produit d’infractions pénales. Dans ces conditions, l’autorité requérante a tout d’abord intérêt à pouvoir prendre connaissance de la documentation d’ouverture du compte litigieux, afin no- tamment de connaître l’identité de l’ayant droit économique et des signatai- res autorisés. Elle doit ensuite pouvoir examiner l’ensemble des documents relatifs à des transferts vers d’autres comptes. Cette analyse lui permettra de connaître, le cas échéant, la date et l’ampleur des cinq transferts men- tionnés par la recourante. Elle lui permettra également de vérifier que ces transferts n’ont pas été précédés ou suivis d’autres virements à destination de comptes contrôlés par B. ou des complices de celui-ci (v. supra Faits, let. A). L’autorité requérante doit également pouvoir analyser la provenance des fonds déposés sur le compte litigieux, afin d’éprouver son soupçon d’une origine illicite des fonds. Si des fonds de provenance illicite devaient</w:t>
      </w:r>
    </w:p>
    <w:p>
      <w:r>
        <w:t>- 9 -</w:t>
      </w:r>
    </w:p>
    <w:p>
      <w:r>
        <w:t>bien avoir transité des comptes litigieux vers des comptes contrôlés par B. ou d’autres comptes constituant les rouages d’un vaste mécanisme de blanchiment, l’autorité requérante aurait alors également intérêt à découvrir le produit total des infractions préalables poursuivies et à connaître le sort réservé à ce produit. Afin que le crime ne paie pas, il sera notamment es- sentiel que l’autorité requérante soit en mesure de découvrir et de confis- quer la totalité du produit illicite. Certes, il se peut également que les comp- 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Dans ces conditions, et vu les principes exposés plus haut, la remise telle qu’ordonnée par le MPC le 18 août 2010 (v. supra Faits, let. E) ne contrevient pas au principe de la proportionnalité. L’autorité d’exécution a fait une application correcte du principe de l’utilité potentielle en ordonnant la remise querellée. Le grief tiré de la violation du principe de la proportionnalité est ainsi mal fondé.</w:t>
      </w:r>
    </w:p>
    <w:p>
      <w:r>
        <w:rPr>
          <w:b/>
        </w:rPr>
        <w:t>E. 3</w:t>
      </w:r>
    </w:p>
    <w:p>
      <w:r>
        <w:t>La recourante allègue enfin que les fonds transférés à B. via le compte litigieux proviendraient de la vente licite d’un commerce parisien apparte- nant à la recourante. Elle serait entrée en contact avec B. pour mettre au point avec lui un mécanisme destiné à «lui permettre de rapatrier ses fonds» en France (act. 1, p. 5, ch. 7). La recourante affirme avoir transféré sur le compte de B. des sommes que ce dernier lui remettait à Paris, moyennant une commission de 3 à 4 % et, en dehors de ces activités, n’avoir jamais eu de relation personnelle ou professionnelle avec B.</w:t>
      </w:r>
    </w:p>
    <w:p>
      <w:r>
        <w:t>En alléguant que les fonds déposés sur le compte litigieux seraient d’origine licite, la recourante perd de vue que l’argumentation à décharge est irrecevable dans le cadre de la présente procédure (arrêt du Tribunal fédéral 1A.59/2000 du 10 mars 2000, consid. 2b; arrêts du Tribunal pénal fédéral RR.2010.148 du 11 septembre 2009, consid. 2.3; RR.2010.117 du 2 septembre 2010, consid. 3). L’appréciation des preuves relève en effet de la compétence du juge pénal belge et il n’appartient pas à la Cour de céans, dans le cadre de la procédure d’entraide, de se substituer au juge du fond de l’Etat requérant (ATF 132 II 81 consid. 2.1; arrêt du Tribunal pé- nal fédéral RR.2007.77 du 29 octobre 2007, consid. 6). Le dernier grief est ainsi également mal fondé.</w:t>
      </w:r>
    </w:p>
    <w:p>
      <w:r>
        <w:t>- 10 -</w:t>
      </w:r>
    </w:p>
    <w:p>
      <w:r>
        <w:rPr>
          <w:b/>
        </w:rPr>
        <w:t>E. 4</w:t>
      </w:r>
    </w:p>
    <w:p>
      <w:r>
        <w:t>Pour l’ensemble de ces motifs, le recours doit être rejeté.</w:t>
      </w:r>
    </w:p>
    <w:p>
      <w:r>
        <w:rPr>
          <w:b/>
        </w:rPr>
        <w:t>E. 5</w:t>
      </w:r>
    </w:p>
    <w:p>
      <w:r>
        <w:t>Les frais de procédure sont mis à la charge de la recourante qui succombe (art. 63 al. 1 de la Loi fédérale du 20 décembre 1968 sur la procédure ad- ministrative [PA; RS 172.021], applicable par renvoi de l’art. 30 let. b LTPF). L’émolument judiciaire, calculé conformément à l’art. 3 du Règle- ment du 11 février 2004 fixant les émoluments judiciaires perçus par le Tri- bunal pénal fédéral (RS 173.711.32; v. art. 63 al. 5 PA), est fixé en l’espèce à CHF 4'000.--, couvert par l’avance de frais déjà versée.</w:t>
      </w:r>
    </w:p>
    <w:p>
      <w:r>
        <w:t>- 11 -</w:t>
      </w:r>
    </w:p>
    <w:p>
      <w:r>
        <w:t>Par ces motifs, la IIe Cour des plaintes prononce:</w:t>
      </w:r>
    </w:p>
    <w:p>
      <w:r>
        <w:t>1. Le recours est rejeté.</w:t>
      </w:r>
    </w:p>
    <w:p>
      <w:r>
        <w:t>2. Un émolument de CHF 4’000.--, couvert par l’avance de frais déjà versée, est mis à la charge de la recourante.</w:t>
      </w:r>
    </w:p>
    <w:p>
      <w:r>
        <w:t>Bellinzone, le 18 novembre 2010</w:t>
      </w:r>
    </w:p>
    <w:p>
      <w:r>
        <w:t>Au nom de la IIe Cour des plaintes du Tribunal pénal fédéral</w:t>
      </w:r>
    </w:p>
    <w:p>
      <w:r>
        <w:t>La présidente:</w:t>
      </w:r>
    </w:p>
    <w:p>
      <w:r>
        <w:t>Le greffier:</w:t>
      </w:r>
    </w:p>
    <w:p>
      <w:r>
        <w:t>Distribution</w:t>
      </w:r>
    </w:p>
    <w:p>
      <w:r>
        <w:t>- Me Fidèle Joye, avocat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