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RR.2010.204 vom 2. Dezember 2010</w:t>
      </w:r>
    </w:p>
    <w:p>
      <w:r>
        <w:t>Bundesstrafgericht, 2010-12-02, IT</w:t>
      </w:r>
    </w:p>
    <w:p>
      <w:r>
        <w:rPr>
          <w:b/>
        </w:rPr>
        <w:t xml:space="preserve">Quelle: </w:t>
      </w:r>
      <w:r>
        <w:t>https://mcp.opencaselaw.ch/entscheid/bstger_RR.2010.204</w:t>
      </w:r>
    </w:p>
    <w:p>
      <w:r>
        <w:t>FR: TPF RR.2010.204 du 2 décembre 2010</w:t>
      </w:r>
    </w:p>
    <w:p>
      <w:r>
        <w:t>IT: TPF RR.2010.204 del 2 dicembre 2010</w:t>
      </w:r>
    </w:p>
    <w:p>
      <w:pPr>
        <w:pStyle w:val="Heading2"/>
      </w:pPr>
      <w:r>
        <w:t>Regeste</w:t>
      </w:r>
    </w:p>
    <w:p>
      <w:r>
        <w:t>Assistenza giudiziaria internazionale in materia penale all'Italia/Consegna a scopo di confisca (art. 74a AIMP): legittimazione ricorsuale.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degli art. 28 cpv. 1 lett. e della legge sul Tribunale penale federale del 4 ottobre 2002 (LTPF; RS 173.71) e 9 cpv. 3 del relativo Regolamento (RS 173.710) il primo grado di giurisdizione ricorsuale in materia di assi- stenza giudiziaria internazionale compete alla II Corte dei reclami penali.</w:t>
      </w:r>
    </w:p>
    <w:p>
      <w:r>
        <w:rPr>
          <w:b/>
        </w:rPr>
        <w:t>E. 1.2</w:t>
      </w:r>
    </w:p>
    <w:p>
      <w:r>
        <w:t>I rapporti di assistenza giudiziaria in materia penale fra la Repubblica Italia- na e la Confederazione Svizzera sono anzitutto retti dalla Convenzione eu-</w:t>
      </w:r>
    </w:p>
    <w:p>
      <w:r>
        <w:t>- 4 -</w:t>
      </w:r>
    </w:p>
    <w:p>
      <w:r>
        <w:t>ropea di assistenza giudiziaria in materia penale del 20 aprile 1959, entrata in vigore il 12 giugno 1962 per l’Italia ed il 20 marzo 1967 per la Svizzera (CEAG; RS 0.351.1), dall'Accordo che completa e agevola l'applicazione della CEAG del 10 settembre 1998 (RS 0.351.945.41), entrato in vigore mediante scambio di note il 1° giugno 2003 (in seguito: l'Accordo italo- svizzero) nonché, a partire dal 12 dicembre 2008 (Gazzetta ufficiale dell’Unione europea, L 327/15-17, del 5 dicembre 2008), dagli art. 48 e segg. dalla Convenzione di applicazione dell'Accordo di Schengen del 14 giugno 1985 (CAS). Di rilievo nella fattispecie è anche la Convenzione sul riciclaggio, la ricerca, il sequestro e la confisca dei proventi di reato, con- clusa a Strasburgo l’8 novembre 1990, entrata in vigore il 1° settembre 1993 per la Svizzera ed il 1° maggio 1994 per l’Italia (CRic; RS 0.311.53). Alle questioni che il prevalente diritto internazionale contenuto in detti trat- tati non regola espressamente o implicitamente, come pure quando il diritto nazionale sia più favorevole all'assistenza rispetto a quello pattizio (cosid- detto principio di favore), si applicano la legge federale sull'assistenza in- ternazionale in materia penale del 20 marzo 1981 (AIMP; RS 351.1), uni- tamente alla relativa ordinanza (OAIMP; RS 351.11; v. art. 1 cpv. 1 AIMP, art. I n. 2 dell'Accordo italo-svizzero; DTF 136 IV 82 consid. 3.1; 123 II 134 consid. 1a; 122 II 140 consid. 2). Il principio di favore vale anche nell'appli- cazione delle pertinenti norme di diritto internazionale (v. art. 48 CAS). È fatto salvo il rispetto dei diritti fondamentali (DTF 135 IV 212 consid. 2.3; 123 II 595 consid. 7c).</w:t>
      </w:r>
    </w:p>
    <w:p>
      <w:r>
        <w:rPr>
          <w:b/>
        </w:rPr>
        <w:t>E. 1.3</w:t>
      </w:r>
    </w:p>
    <w:p>
      <w:r>
        <w:t>Il ricorso è stato tempestivamente interposto contro una decisione di con- segna di mezzi di prova secondo l’art. 74 AIMP, resa dall’autorità cantonale di esecuzione. I requisiti di ammissibilità di cui agli art. 80k, così come 80e cpv. 1 in relazione con l’art. 25 AIMP, sono pacificamente dati.</w:t>
      </w:r>
    </w:p>
    <w:p>
      <w:r>
        <w:rPr>
          <w:b/>
        </w:rPr>
        <w:t>E. 1.4</w:t>
      </w:r>
    </w:p>
    <w:p>
      <w:r>
        <w:t>La ricevibilità del gravame presuppone tuttavia anche la legittimazione a ri- correre degli insorgenti giusta l’art. 80h AIMP. In base a quest’ultima dispo- sizione, oltre all’UFG (art. 80h lett. a AIMP), ha diritto di ricorrere chiunque è toccato personalmente e direttamente da una misura d’assistenza giudi- ziaria e ha un interesse degno di protezione all’annullamento o alla modifi- ca della stessa (art. 80h lett. b AIMP; v. anche l’art. 21 cpv. 3 AIMP per quanto concerne le persone contro cui è diretto il procedimento penale all’estero). Il concetto di persona toccata ai sensi dei predetti articoli di leg- ge trova concretizzazione sia nella giurisprudenza che all'art. 9a OAIMP. Per essere considerato personalmente e direttamente toccato da una misu- ra di assistenza giudiziaria internazionale, il ricorrente deve avere un lega- me sufficientemente stretto con la decisione litigiosa (DTF 123 II 161 con- sid. 1 d/aa). L’interesse da cui rampolla la qualità per agire può essere giu- ridico o fattuale. Esso non deve necessariamente corrispondere a quello tu-</w:t>
      </w:r>
    </w:p>
    <w:p>
      <w:r>
        <w:t>- 5 -</w:t>
      </w:r>
    </w:p>
    <w:p>
      <w:r>
        <w:t>telato dalla norma invocata. Occorre però che il ricorrente sia toccato più di altri, rispettivamente del collettivo degli amministrati, in un interesse impor- tante, risultante dalla sua posizione per rapporto all’oggetto della contesta- zione. Un interesse degno di protezione esiste allorquando la situazione di fatto o di diritto del ricorrente può essere influenzata dall’esito della causa: è necessario che un eventuale accoglimento del ricorso gli procuri un van- taggio di natura economica, materiale oppure ideale. Il ricorso proposto sol- tanto nell’interesse della legge oppure di un terzo non è ammissibile (DTF 126 II 258 consid. 2d; 125 II 356 consid. 3b/aa; 124 II 409 consid. 1 e/bb, 499 3b pag. 504; 123 II 115 consid. 2a). Più concretamente, nel caso di una richiesta d’informazioni su un conto bancario è considerato personal- mente e direttamente toccato il titolare del conto (v. art. 9a lett. a OAIMP; DTF 118 Ib 547 consid. 1d), così come nelle perquisizioni domiciliari questa qualità spetta al proprietario o al locatario (v. art. 9a lett. b OAIMP), rispetti- vamente nell’ambito di misure concernenti un veicolo a motore al detentore dello stesso (v. art. 9a lett. c OAIMP). In via giurisprudenziale è stato altresì precisato che la legittimazione a ricorrere compete alla persona direttamen- te sottoposta a una misura coercitiva (perquisizione, sequestro o interroga- torio; DTF 130 II 162 consid. 1.1; 128 II 211 consid. 2.3; 127 II 198 con- sid. 2d; 126 II 258 consid. 2d; 124 II 180 consid. 1b; TPF 2007 79 consid.</w:t>
      </w:r>
    </w:p>
    <w:p>
      <w:r>
        <w:rPr>
          <w:b/>
        </w:rPr>
        <w:t>E. 1.5</w:t>
      </w:r>
    </w:p>
    <w:p>
      <w:r>
        <w:t>Nella fattispecie, intestatarie dei conti bancari oggetto della misura impu- gnata sono C. e D., figlie del ricorrente (v. atto 50 MPTI). Essendo quest'ul- timo unicamente avente diritto economico dei conti in questione, egli non è legittimato a ricorrere, per cui il gravame deve essere dichiarato inammissi- bile.</w:t>
      </w:r>
    </w:p>
    <w:p>
      <w:r>
        <w:rPr>
          <w:b/>
        </w:rPr>
        <w:t>E. 1.6</w:t>
      </w:r>
    </w:p>
    <w:p>
      <w:r>
        <w:t>pag. 82), mentre gli interessati toccati solo in maniera indiretta, come ad esempio il mero avente diritto economico di un conto bancario, non pos- sono impugnare tali provvedimenti (DTF 122 II 130 consid. 2b e rinvii).</w:t>
      </w:r>
    </w:p>
    <w:p>
      <w:r>
        <w:rPr>
          <w:b/>
        </w:rPr>
        <w:t>E. 2</w:t>
      </w:r>
    </w:p>
    <w:p>
      <w:r>
        <w:t>Le spese seguono la soccombenza (v. art. 63 cpv. 1 della legge federale sulla procedura amministrativa del 20 dicembre 1968 [PA; RS 172.021] ri- chiamato l’art. 30 lett. b LTPF). La tassa di giustizia è calcolata giusta l’art.</w:t>
      </w:r>
    </w:p>
    <w:p>
      <w:r>
        <w:rPr>
          <w:b/>
        </w:rPr>
        <w:t>E. 3</w:t>
      </w:r>
    </w:p>
    <w:p>
      <w:r>
        <w:t>del Regolamento dell’11 febbraio 2004 sulle tasse di giustizia del Tribu- nale penale federale (RS 173.711.32), richiamato l'art. 63 cpv. 5 PA, ed è fissata nella fattispecie a fr. 2'000.-- a carico del ricorrente; essa è coperta dall'anticipo delle spese già versato.</w:t>
      </w:r>
    </w:p>
    <w:p>
      <w:r>
        <w:t>- 6 -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