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RR.2010.200 vom 20. Januar 2011</w:t>
      </w:r>
    </w:p>
    <w:p>
      <w:r>
        <w:t>Bundesstrafgericht, 2011-01-20, DE</w:t>
      </w:r>
    </w:p>
    <w:p>
      <w:r>
        <w:rPr>
          <w:b/>
        </w:rPr>
        <w:t xml:space="preserve">Quelle: </w:t>
      </w:r>
      <w:r>
        <w:t>https://mcp.opencaselaw.ch/entscheid/bstger_RR.2010.200</w:t>
      </w:r>
    </w:p>
    <w:p>
      <w:r>
        <w:t>FR: TPF RR.2010.200 du 20 janvier 2011</w:t>
      </w:r>
    </w:p>
    <w:p>
      <w:r>
        <w:t>IT: TPF RR.2010.200 del 20 gennaio 2011</w:t>
      </w:r>
    </w:p>
    <w:p>
      <w:pPr>
        <w:pStyle w:val="Heading2"/>
      </w:pPr>
      <w:r>
        <w:t>Regeste</w:t>
      </w:r>
    </w:p>
    <w:p>
      <w:r>
        <w:t>Internationale Rechtshilfe an Lettland. Herausgabe von Beweismitteln (Art. 74 IRSG). Legitimation.</w:t>
      </w:r>
    </w:p>
    <w:p>
      <w:pPr>
        <w:pStyle w:val="Heading2"/>
      </w:pPr>
      <w:r>
        <w:t>Erwägungen</w:t>
      </w:r>
    </w:p>
    <w:p>
      <w:r>
        <w:rPr>
          <w:b/>
        </w:rPr>
        <w:t>E. 8</w:t>
      </w:r>
    </w:p>
    <w:p>
      <w:r>
        <w:t>April 2009 die geforderten Kontoauszüge und Detailbelege nach.</w:t>
      </w:r>
    </w:p>
    <w:p>
      <w:r>
        <w:t>C. Die Bundesanwaltschaft entsprach mit Schlussverfügung vom 29. Juli 2010 dem Rechtshilfeersuchen vom 15. März 2008 vollumfänglich und verfügte die Herausgabe von Kontoeröffnungsunterlagen, Zahlungsaufträgen, Kon- to- und Depotauszügen sowie Detailbelegen bezüglich der Kontoverbin- dung Nr. 1 bei der Bank J. SA, lautend auf den A. Trust (act. 1.1).</w:t>
      </w:r>
    </w:p>
    <w:p>
      <w:r>
        <w:t>- 3 -</w:t>
      </w:r>
    </w:p>
    <w:p>
      <w:r>
        <w:t>D. Dagegen führt der A. Trust sowie die B. für sich und als Trustee des A. Trust mit Eingabe vom 6. September 2010 (datiert vom 6. Septem- ber 2009) Beschwerde bei der II. Beschwerdekammer des Bundesstrafge- richts mit den folgenden Anträgen (act. 1):</w:t>
      </w:r>
    </w:p>
    <w:p>
      <w:r>
        <w:t>„1. Es sei dem ergänzenden Rechtshilfeersuchen der Generalstaatsanwaltschaft der Repu- blik Lettland vom 15. März 2008, soweit die Beschwerdeführerin betroffen ist, nicht zu entsprechen und die Schlussverfügung der Bundesanwaltschaft vom 29. Juli 2010 auf- zuheben.</w:t>
      </w:r>
    </w:p>
    <w:p>
      <w:r>
        <w:t>2. Es seien die Unterlagen betreffend das Konto-Nr. 1 lautend auf die A. TRUST bei der Bank J. SA entgegen der angefochtenen Schlussverfügung vom 29. Juli 2010, (Disposi- tiv-Ziffer 2), nicht an die ersuchende Behörde (Generalstaatsanwaltschaft der Republik Lettland) herauszugeben, d.h.:</w:t>
      </w:r>
    </w:p>
    <w:p>
      <w:r>
        <w:t>- Kontoeröffnungsunterlagen (act. 1 – 90) - Zahlungsaufträge (act. 91 – 99) - Konto- und Depotauszüge (act. 100 – 311) - Detailbelege (act. 312 – 330)</w:t>
      </w:r>
    </w:p>
    <w:p>
      <w:r>
        <w:t>3. Eventualiter sei der gestützt auf die Schlussverfügung vom 29. Juli 2010 ergangene Ent- scheid aufzuheben und an die Bundesanwaltschaft zurückzuweisen und die Bundesan- waltschaft anzuweisen, von der ersuchenden Behörde weitere Unterlagen einzufordern und das Rechtshilfeersuchen in der geforderten Art und Weise zu ergänzen.</w:t>
      </w:r>
    </w:p>
    <w:p>
      <w:r>
        <w:t>4. Es sei vor einem Entscheid über die Rechtsbegehren Ziffer 1 bis 3 hiervor die Bundesanwaltschaft anzuweisen, den Beschwerdeführerinnen vollumfänglich Ak- teneinsicht zu gewähren, und es sei den Beschwerdeführerinnen unter Fristanset- zung nach erfolgter Akteneinsicht Gelegenheit zur Ergänzung der vorliegenden Beschwerde einzuräumen.</w:t>
      </w:r>
    </w:p>
    <w:p>
      <w:r>
        <w:t>5. Unter Kosten- und Entschädigungsfolgen zu Lasten der Schweizerischen Eidgenossen- schaft“</w:t>
      </w:r>
    </w:p>
    <w:p>
      <w:r>
        <w:t>Auf die Durchführung eines formellen Schriftenwechsels wurde in Anwen- dung von Art. 57 Abs. 1 des Bundesgesetzes vom 20. Dezember 1968 über das Verwaltungsverfahren (VwVG; SR 172.021) in Verbindung mit Art. 39 Abs. 2 lit. d des Bundesgesetzes vom 19. März 2010 über die Or- ganisation der Strafbehörden des Bundes (Strafbehördenorganisationsge- setz; StBOG; SR 173.71) verzichtet.</w:t>
      </w:r>
    </w:p>
    <w:p>
      <w:r>
        <w:t>- 4 -</w:t>
      </w:r>
    </w:p>
    <w:p>
      <w:r>
        <w:t>Die II. Beschwerdekammer zieht in Erwägung:</w:t>
      </w:r>
    </w:p>
    <w:p>
      <w:r>
        <w:t>1. 1.1 Für die Rechtshilfe zwischen Lettland und der Schweiz sind in erster Linie die Bestimmungen des Europäischen Übereinkommens über die Rechtshil- fe in Strafsachen vom 20. April 1959 (EUeR; SR 0.351.1), dem beide Staa- ten beigetreten sind,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 derungen an die Rechtshilfe stellt (BGE 129 II 462 E. 1.1 S. 464 m.w.H.). Das Günstigkeitsprinzip gilt auch innerhalb der massgebenden internatio- nalen Rechtsquellen (vgl. Art. 48 SDÜ). Vorbehalten bleibt die Wahrung der Menschenrechte (BGE 135 IV 212 E. 2.3 S. 215; 123 II 595 E. 7c S. 616 ff.; TPF 2008 24 E. 1.1).</w:t>
      </w:r>
    </w:p>
    <w:p>
      <w:r>
        <w:t>2. Beim angefochtenen Entscheid handelt es sich um eine Schlussverfügung der ausführenden Bundesbehörde, gegen welche innert 30 Tagen ab der schriftlichen Mitteilung bei der II. Beschwerdekammer des Bundes- strafgerichts Beschwerde geführt werden kann (Art. 80e Abs. 1 i.V.m. Art. 80k IRSG; Art. 37 Abs. 2 lit. a Ziff. 1 StBOG; Art. 19 Abs. 2 des Organi- sationsreglements vom 31. August 2010 für das Bundesstrafgericht, BStGerOG; SR 173.713.161). Die Schlussverfügung vom 29. Juli 2010 wurde mit vorliegender Beschwerde vom 6. September 2009 (recte 2010) fristgerecht angefochten.</w:t>
      </w:r>
    </w:p>
    <w:p>
      <w:r>
        <w:t>- 5 -</w:t>
      </w:r>
    </w:p>
    <w:p>
      <w:r>
        <w:t>3. Im Beschwerdeverfahren ist als Partei nur zuzulassen, wer partei- und pro- zessfähig und zudem im Sinne von Art. 80h lit. b IRSG zur Beschwerdefüh- rung berechtigt ist. Die Partei- und Prozessfähigkeit bestimmt sich nach dem Zivilrecht. Wer rechtsfähig ist, gilt als parteifähig. Rechtsfähig sind die natürlichen Personen sowie die juristischen Personen des Privatrechts und des öffentlichen Rechts (VERA MARANTELLI-SONANINI/SAID HUBER, Praxis- kommentar zum Bundesgesetz über das Verwaltungsverfahren, Zü- rich/Basel/Genf 2009, N. 12 f. zu Art. 6 VwVG). Im Sinne von Art. 80h lit. b IRSG ist zur Beschwerdeführung berechtigt, wer persönlich und direkt von einer Rechtshilfemassnahme betroffen ist und ein schutzwürdiges Inte- resse an deren Aufhebung oder Änderung hat. Als persönlich und direkt betroffen im Sinne der Art. 21 Abs. 3 und Art. 80h IRSG gilt bei der Erhe- bung von Kontoinformationen der Kontoinhaber (Art. 9a IRSV; BGE 118 Ib 547 E. 1d; TPF 2007 79 E. 1.6).</w:t>
      </w:r>
    </w:p>
    <w:p>
      <w:r>
        <w:t>3.1 Der Beschwerdeführer 1 erhebt in seiner „ureigenen Eigenschaft“ als Trust nach liechtensteinischem Recht Beschwerde (act. 1, I, Ziff. 1.3).</w:t>
      </w:r>
    </w:p>
    <w:p>
      <w:r>
        <w:t>Der Trust bezeichnet ein Rechtsverhältnis, bei dem bestimmte Vermö- genswerte treuhänderisch auf eine oder mehrere Personen (Trustees) übertragen werden, welche diese zu verwalten und für einen vom Treuge- ber (Settlor) vorgegebenen Zweck zu verwenden haben. Dem Trust wird keinerlei Rechtsfähigkeit zugestanden (vgl. Botschaft vom 2. Dezember 2005 zur Genehmigung und Umsetzung des Haager Überein- kommens über das auf Trusts anzuwendende Recht und über ihre Aner- kennung, BBl 2006 551 Ziff. 1.3.3.1 f.). Der Trustee ist Eigentümer des Trustvermögens, welches nicht mit seinem Privatvermögen vermischt wer- den darf, folglich ein Sondervermögen darstellt. Entsprechend ist hinsicht- lich des Trustvermögens der Trustee als Eigentümer und nicht der Trust im Prozess aktiv- und passivlegitimiert (PETER MAX GUTZWILLER, Schweizeri- sches Internationales Trustrecht, 2007, Allgemeine Einleitung, N 10 und 16, S. 5).</w:t>
      </w:r>
    </w:p>
    <w:p>
      <w:r>
        <w:t>Obwohl der Beschwerdeführer 1 Inhaber des von den Rechtshilfemass- nahmen betroffenen Kontos ist, kann er seine Rechte mangels Partei- und Prozessfähigkeit somit nicht selbständig geltend machen. Selbst nach liechtensteinischem Recht ist der Trust nicht beschwerdelegitimiert. Aus Art. 919 Abs. 3 des liechtensteinischen Personen- und Gesellschaftsrechts vom 20. Januar 1926 (PGR; Lilex 216.0) geht hervor, dass der Treuhänder (Trustee) berechtigt ist, für das Treuegut vor allen Behörden und in allen Verfahren im eigenen Namen als Partei aufzutreten. Nach dem Gesagten</w:t>
      </w:r>
    </w:p>
    <w:p>
      <w:r>
        <w:t>- 6 -</w:t>
      </w:r>
    </w:p>
    <w:p>
      <w:r>
        <w:t>ist der Beschwerdeführer 1 als Trust im Sinne von Art. 80h lit. b IRSG nicht zur Beschwerdeführung legitimiert.</w:t>
      </w:r>
    </w:p>
    <w:p>
      <w:r>
        <w:t>3.2 Die Beschwerdeführerin 2 erhebt zunächst für sich selber Beschwerde. Sie sei in der angefochtenen Schlussverfügung vom 29. Juli 2010 im Zusam- menhang mit dem Beschwerdeführer 1 als in die inkriminierenden Vor- kommnisse involviert dargestellt und werde somit in ihren wirtschaftlichen und persönlichen Verhältnissen beeinträchtigt (act. 1, I, Ziff. 2.6).</w:t>
      </w:r>
    </w:p>
    <w:p>
      <w:r>
        <w:t>Inhaber des von der streitigen Rechtshilfemassnahme betroffenen Kontos bei der Bank J. SA ist der Beschwerdeführer 1. Der Beschwerdeführerin 2 mangelt es entgegen ihren Ausführungen demnach an einer persönlichen und direkten Betroffenheit und somit an der Beschwerdelegitimation im Sinne der zitierten Rechtsprechung (vgl. supra E. 3).</w:t>
      </w:r>
    </w:p>
    <w:p>
      <w:r>
        <w:t>3.3</w:t>
      </w:r>
    </w:p>
    <w:p>
      <w:r>
        <w:t>3.3.1 Die Beschwerdeführerin 2 erhebt sodann handelnd als Trustee des Be- schwerdeführers 1 Beschwerde. Dieser sei zwar gemäss einem Beschluss der Treuhänder vom 1. Oktober 2007 zu löschen gewesen, und die ent- sprechende Löschung wurde am 2. Oktober 2007 in das Öffentlichkeitsre- gister Liechtenstein eingetragen (vgl. act. 1.3). Die Beschwerdeführerin 2 jedoch sei in ihrer Eigenschaft als Trustee bis heute nicht im Öffentlich- keitsregister gelöscht worden. Die zur Herausgabe vorgesehenen Unterla- gen betreffen eine Geschäftsbeziehung zwischen der Bank J. SA und dem Beschwerdeführer 1. Dieser habe auch nach seiner Löschung im Öffent- lichkeitsregister ein rechtliches Interesse daran, dass die Bankunterlagen nicht an den ersuchenden Staat herausgegeben würden und könne seine Rechte durch den für ihn handelnden Trustee, mithin durch die Beschwer- deführerin 2 geltend machen (act. 1, I, Ziff. 1.4 und 2.6).</w:t>
      </w:r>
    </w:p>
    <w:p>
      <w:r>
        <w:t>Falls dieser Begründung nicht gefolgt würde, machen die Beschwerdefüh- rer eventualiter geltend, die Löschung des Beschwerdeführers 1 sei noch gar nicht erfolgt. Die Löschung im Öffentlichkeitsregister Liechtenstein habe lediglich deklaratorische Bedeutung. Dies habe der Fürstliche Gerichtshof in Vaduz/FL mit Entscheidung 6 NP 2004.52-22 vom 3. Februar 2005 be- züglich der Löschung einer Verbandsperson (d.h. einer juristischen Person nach liechtensteinischer Diktion) entschieden (act. 1.7). Zur Löschung ei- nes Trusts gebe es zwar keine entsprechende ausdrückliche Rechtspre- chung, jedoch müsse die vorgenannte Entscheidung aufgrund des Wesens eines Trusts auch vorliegend Anwendung finden. Falls Zweifel bestünden, ob die Löschung erfolgt sei oder nicht, ersuchen die Beschwerdeführer um</w:t>
      </w:r>
    </w:p>
    <w:p>
      <w:r>
        <w:t>- 7 -</w:t>
      </w:r>
    </w:p>
    <w:p>
      <w:r>
        <w:t>eine Nachfrist um entsprechenden Dokumente beizubringen (act. 1, I, Ziff. 1.5).</w:t>
      </w:r>
    </w:p>
    <w:p>
      <w:r>
        <w:t>Nachfolgend ist demnach zu prüfen, ob der Beschwerdeführer 1 gelöscht wurde. Sodann stellt sich die Frage, ob die Beschwerdeführerin 2 in ihrer Eigenschaft als Trustee des Beschwerdeführers 1 beschwerdelegitimiert ist.</w:t>
      </w:r>
    </w:p>
    <w:p>
      <w:r>
        <w:t>3.3.2 Wie die Beschwerdeführer zutreffend ausführen, hat der Eintrag bzw. die Löschung im Öffentlichkeitsregister deklaratorische Wirkung. Der Verweis auf die Entscheidung 6 NP 2004.52-22 vom 3. Februar 2005 des Fürstli- chen Gerichtshofs in Vaduz/FL geht jedoch fehl. Auf dessen Seite 12 wird zwar ausgeführt, dass die Löschung nur deklarativ wirke und eine Ver- bandsperson ihre Rechtspersönlichkeit behalte bis sämtliche Vermögens- werte liquidiert seien, was auch für eine Stiftung gelte. Die Schlussfolge- rungen dieses Entscheides sind aber auf den vorliegenden Fall nicht über- tragbar. Denn die Stiftung ist eine selbständige juristische Person, welche über ein eigenes Vermögen verfügt (Art. 552 Abs. 1 PGR), während der Trust eben gerade keine Rechtspersönlichkeit besitzt und Eigentümer am Trustvermögen der Trustee ist (vgl. Art. 897 PGR; supra E. 3.1).</w:t>
      </w:r>
    </w:p>
    <w:p>
      <w:r>
        <w:t>Die deklaratorische Wirkung der Löschung im Öffentlichkeitsregister bedeu- tet im vorliegenden Fall, dass die Eintragung vom 2. Oktober 2001 (act. 1.3), wonach der Beschwerdeführer 1 gelöscht wurde, dessen Auflö- sung zwar nicht vollzieht, jedoch dessen Erlöschen feststellt (vgl. HANS- UELI VOGT, Der öffentliche Glaube des Handelsregisters, Zürich 2003, S. 391). Das Öffentlichkeitsregister ist ein öffentliches und mit öffentlichem Glauben ausgestattetes Register (http://www.llv.li/llv-gboera-oera.htm). Trotz des eventualiter geltend gemachten Einwands bestehen vorlegend keine vernünftigen Zweifel daran, dass der Beschwerdeführer 1 erloschen ist.</w:t>
      </w:r>
    </w:p>
    <w:p>
      <w:r>
        <w:t>Die Auflösung eines (im schweizerischen Recht nicht vorgesehenen, aber anerkannten; vgl. Übereinkommen über das auf Trusts anzuwendende Recht und über ihre Anerkennung, SR 0.221.371, in Kraft für die Schweiz seit dem 1. Juli 2007) Trusts kann im Rechtshilferecht analog behandelt werden wie die Auflösung einer Gesellschaft (Entscheid des Bundesstraf- gerichts RR.2008.167 vom 24. September 2008, E. 3.2). Ein an einer Ge- sellschaft bloss wirtschaftlich Berechtigter ist grundsätzlich nicht legitimiert, die Interessen dieser Gesellschaft im Rechtshilfeverfahren zu vertreten bzw. gegen Verfügungen, die diese Gesellschaft betreffen, Beschwerde zu erheben. Nach der Rechtsprechung ist ein wirtschaftlich Berechtigter je-</w:t>
      </w:r>
    </w:p>
    <w:p>
      <w:r>
        <w:t>- 8 -</w:t>
      </w:r>
    </w:p>
    <w:p>
      <w:r>
        <w:t>doch dann ausnahmsweise beschwerdelegitimiert, wenn solche Gesell- schaften aufgelöst und damit nicht mehr handlungsfähig sind (BGE 123 II 153 E. 2). Das Bundesgericht hat die ausnahmsweise Zulässigkeit der Le- gitimation zusätzlich eingeschränkt, als der Auflösungsakt klar den wirt- schaftlich Berechtigten der Gesellschaft als dessen Begünstigten (bénéfici- aire) zu bezeichnen hat (Urteil des Bundesgerichts 1A.212./2001 vom 21. März 2002, E. 1.3.2; vgl. Jusletter 13. Dezember 2010, Rz 29). Die Be- weislast für die wirtschaftliche Berechtigung und die Liquidation der Gesell- schaft obliegt dabei dem Rechtssuchenden (Urteil 1A.10/2000 vom 18. Mai 2000, E. 1e).</w:t>
      </w:r>
    </w:p>
    <w:p>
      <w:r>
        <w:t>Die Beschwerdeführerin 2 erbringt weder den Nachweis noch macht sie in der Beschwerdeschrift geltend, Begünstigte des aufgelösten Beschwerde- führers 1 zu sein. Demnach sind die Voraussetzungen für die Beschwerde- legitimation der Beschwerdeführerin 2 als wirtschaftlich Berechtigte vorlie- gend nicht erfüllt.</w:t>
      </w:r>
    </w:p>
    <w:p>
      <w:r>
        <w:t>4. Zusammenfassend ist festzuhalten, dass weder der Beschwerdeführer 1 als Trust noch die Beschwerdeführerin 2, handelnd als Trustee des Be- schwerdeführers, 1 bzw. im eigenen Namen zur Beschwerdeführung legi- timiert sind. Auf die Beschwerde ist folglich nicht einzutreten.</w:t>
      </w:r>
    </w:p>
    <w:p>
      <w:r>
        <w:t>5. Bei diesem Ausgang des Verfahrens werden die Beschwerdeführer kos- tenpflichtig (Art. 63 Abs. 1 VwVG i.V.m. Art. 39 Abs. 2 lit. d StBOG). Für die Berechnung der Gerichtsgebühren gelangt gemäss Art. 63 Abs. 5 VwVG das Reglement des Bundesstrafgerichts vom 31. August 2010 über die Kosten, Gebühren und Entschädigungen in Bundesstrafverfahren (BStKR; SR 173.713.162) zur Anwendung. Die Gerichtsgebühr ist vorliegend auf Fr. 4’000.-- anzusetzen (Art. 8 Abs. 3 lit. a des Reglements), unter Anrech- nung des geleisteten Kostenvorschusses von Fr. 6’000.--. Die Bundesstraf- gerichtskasse ist anzuweisen, den Beschwerdeführern den Restbetrag von Fr. 2'000.-- zurückzuerstatten.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