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RR.2010.192 vom 25. Juli 2011</w:t>
      </w:r>
    </w:p>
    <w:p>
      <w:r>
        <w:t>Bundesstrafgericht, 2011-07-25, DE</w:t>
      </w:r>
    </w:p>
    <w:p>
      <w:r>
        <w:rPr>
          <w:b/>
        </w:rPr>
        <w:t xml:space="preserve">Quelle: </w:t>
      </w:r>
      <w:r>
        <w:t>https://mcp.opencaselaw.ch/entscheid/bstger_RR.2010.192</w:t>
      </w:r>
    </w:p>
    <w:p>
      <w:r>
        <w:t>FR: TPF RR.2010.192 du 25 juillet 2011</w:t>
      </w:r>
    </w:p>
    <w:p>
      <w:r>
        <w:t>IT: TPF RR.2010.192 del 25 luglio 2011</w:t>
      </w:r>
    </w:p>
    <w:p>
      <w:pPr>
        <w:pStyle w:val="Heading2"/>
      </w:pPr>
      <w:r>
        <w:t>Regeste</w:t>
      </w:r>
    </w:p>
    <w:p>
      <w:r>
        <w:t>Internationale Rechtshilfe in Strafsachen an Schweden. Herausgabe von Vermögenswerten (Art. 74a IRSG).</w:t>
      </w:r>
    </w:p>
    <w:p>
      <w:pPr>
        <w:pStyle w:val="Heading2"/>
      </w:pPr>
      <w:r>
        <w:t>Erwägungen</w:t>
      </w:r>
    </w:p>
    <w:p>
      <w:r>
        <w:rPr>
          <w:b/>
        </w:rPr>
        <w:t>E. 11</w:t>
      </w:r>
    </w:p>
    <w:p>
      <w:r>
        <w:t>Februar 2008, E. 3.4; Entscheid des Bundesstrafgerichts RR.2009.168 vom 21. Oktober 2009, E. 4.1).</w:t>
      </w:r>
    </w:p>
    <w:p>
      <w:r>
        <w:t>6.3 6.3.1 Das letztinstanzliche Urteil liegt dem Beschwerdeführer offenbar vor (vgl. act. 12.21). Er bestreitet weder dessen Rechtskraft noch macht er gel- tend, es weiche vom vorinstanzlichen Entscheid ab. Sein schwedischer Rechtsvertreter führt in der Beschwerde an den Europäischen Gerichtshof für Menschenrechte vom 2. Juni 2009 dazu aus, die Klage gegen ihn sei in Schweden von sämtlichen Instanzen geprüft worden (vgl. act. 12.22, VII). Sodann erläutert er, dass er sowohl durch das Oberlandesgericht als auch durch das Oberste Gericht wegen Handels mit Arzneimitteln gemäss dem schwedischen Gesetz verurteilt worden sei (vgl. act. 12.22, II, N. 3 ff.). Die zuständige Betreibungsstelle kann sodann lediglich eine Forderung einzie- hen, welche fällig ist (vgl. http://ec.europa.eu/civiljustice betreffend verein- fachte und beschleunigte Verfahren Schweden). Nach dem Gesagten er- geben sich keinerlei Zweifel, wonach das letztinstanzliche Urteil nicht rechtskräftig sein oder vom vorinstanzlichen Entscheid abweichen könnte. Folglich besteht keine Veranlassung, dieses im vorliegenden Verfahren beizuziehen.</w:t>
      </w:r>
    </w:p>
    <w:p>
      <w:r>
        <w:t>6.3.2 Der Beschwerdeführer rügt keinen fehlenden Zusammenhang zwischen den vorgeworfenen Handlungen und den herauszugebenden Vermögens- werten. Aus dem Schreiben des Auslandsteams 2, Kronofogden vom 1. Juni 2009 ergibt sich sodann klar, dass die Einziehung die bei der Bank D. AG und Bank C. gelegenen Vermögenswerte betrifft (vgl. act. 12.2, S. 7). Einer Herausgabe der ersuchten Vermögenswerte von SEK 6’172'000.-- steht daher – unter Vorbehalt des Abschlusses einer Teilungsvereinbarung mit Schweden – nichts entgegen. Aus dem vom Beschwerdeführer einge- reichten Bankauszug der Bank D. AG (act. 12.16) ist ersichtlich, dass sein dortiges Vermögen am 22. September 2010 unter dem von den schwedi- schen Behörden geforderten Betrag liegt, weshalb es vollständig heraus- zugeben ist. Die vom Beschwerdeführer erwähnte Beschlagnahmefrist von 5 Wochen bezüglich SEK 1'982'882.-- ([recte: SEK 1'952'882.--] vgl. act.</w:t>
      </w:r>
    </w:p>
    <w:p>
      <w:r>
        <w:t>- 14 -</w:t>
      </w:r>
    </w:p>
    <w:p>
      <w:r>
        <w:t>12.10) betrifft sodann einen Arrest und nicht die Forderung des schwedi- schen Staates an sich. Auch dieser Einwand erweist sich somit als unbe- gründet.</w:t>
      </w:r>
    </w:p>
    <w:p>
      <w:r>
        <w:t>7. Laut Art. 74a Abs. 7 IRSG wird die Herausgabe der eingezogenen Vermö- genswerte an den ersuchenden Staat unter Vorbehalt des Abschlusses ei- ner Teilungsvereinbarung angeordnet. Nach Rechtskraft des Herausgabe- entscheides nimmt das BJ mit dem ausländischen Staat Verhandlungen zum Abschluss einer solchen Teilungsvereinbarung auf (Art. 12 des Bun- desgesetzes vom 19. März 2004 über die Teilung eingezogener Vermö- genswerte [TEVG; SR 312.4]). Das Dispositiv der angefochtenen Verfü- gung ist daher in diesem Sinne zu ändern.</w:t>
      </w:r>
    </w:p>
    <w:p>
      <w:r>
        <w:t>8. Die II. Beschwerdekammer befreit eine Partei, welche nicht über die erfor- derlichen Mittel verfügt, auf Antrag von der Bezahlung der Verfahrenskos- 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 sichten beträchtlich geringer erscheinen als die Verlustgefahren und sie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 tel verfügt, sich bei vernünftiger Überlegung zu einem Prozess entschlies- sen würde. Ob im Einzelfall genügende Erfolgsaussichten bestehen, beur- teilt sich nach den Verhältnissen zur Zeit, zu der das Gesuch um unentgelt- liche Rechtspflege gestellt wird (BGE 129 I 129 E. 2.3.1; 128 I 225 E. 2.5.3; 124 I 304 E. 2c).</w:t>
      </w:r>
    </w:p>
    <w:p>
      <w:r>
        <w:t>Die Zulässigkeit der Herausgabe der Vermögenswerte bei der Bank D. AG und Bank C. ist gestützt auf die obigen Erwägungen in offensichtlicher Weise zu bejahen, weshalb die Begehren des Beschwerdeführers als von Anfang an aussichtslos bezeichnet werden müssen. Das Gesuch um un- entgeltliche Rechtspflege und Verbeiständung ist somit abzuweisen. Bei diesem Ausgang des Verfahrens wird der Beschwerdeführer kostenpflichtig (Art. 63 Abs. 1 VwVG i. V. m. Art. 39 Abs. 2 lit. b StBOG). Für die Berech- nung der Gerichtsgebühren gelangt gemäss Art. 63 Abs. 5 VwVG das Reg- lement des Bundesstrafgerichts vom 31. August 2010 über die Kosten, Ge-</w:t>
      </w:r>
    </w:p>
    <w:p>
      <w:r>
        <w:t>- 15 -</w:t>
      </w:r>
    </w:p>
    <w:p>
      <w:r>
        <w:t>bühren und Entschädigungen in Bundesstrafverfahren (BStKR; SR 173.713.162) zur Anwendung. Es rechtfertigt sich vorliegend, die Gebühr auf Fr. 6'000.-- anzusetzen, unter Anrechnung des geleisteten Kostenvor- schusses in gleicher Höhe (Art. 8 Abs. 3 lit. a des Reglements).</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