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RR.2010.188 vom 11. Oktober 2010</w:t>
      </w:r>
    </w:p>
    <w:p>
      <w:r>
        <w:t>Bundesstrafgericht, 2010-10-11, FR</w:t>
      </w:r>
    </w:p>
    <w:p>
      <w:r>
        <w:rPr>
          <w:b/>
        </w:rPr>
        <w:t xml:space="preserve">Quelle: </w:t>
      </w:r>
      <w:r>
        <w:t>https://mcp.opencaselaw.ch/entscheid/bstger_RR.2010.188</w:t>
      </w:r>
    </w:p>
    <w:p>
      <w:r>
        <w:t>FR: TPF RR.2010.188 du 11 octobre 2010</w:t>
      </w:r>
    </w:p>
    <w:p>
      <w:r>
        <w:t>IT: TPF RR.2010.188 del 11 ottobre 2010</w:t>
      </w:r>
    </w:p>
    <w:p>
      <w:pPr>
        <w:pStyle w:val="Heading2"/>
      </w:pPr>
      <w:r>
        <w:t>Regeste</w:t>
      </w:r>
    </w:p>
    <w:p>
      <w:r>
        <w:t>Extradition à la République d'Allemagne. Décision d'extradition (art. 55 al. 1 EIMP). Désignation d'un avocat d'office dans le cadre de la procédure d'extradition (art. 21 al. 1 EIMP). Exécution de la décision d'extradition en cas de titre de détention cantonal parallèle à la détention extraditionnelle (art. 58 al. 1 EIMP, art. 19 CEExtr.). Refus de l'assistance judiciaire.</w:t>
      </w:r>
    </w:p>
    <w:p>
      <w:pPr>
        <w:pStyle w:val="Heading2"/>
      </w:pPr>
      <w:r>
        <w:t>Erwägungen</w:t>
      </w:r>
    </w:p>
    <w:p>
      <w:r>
        <w:rPr>
          <w:b/>
        </w:rPr>
        <w:t>E. 1</w:t>
      </w:r>
    </w:p>
    <w:p>
      <w:r>
        <w:t>L’extradition entre la Suisse et la République d’Allemagne est régie par la Convention européenne d’extradition (CEExtr.; RS 0.353.1) et ses deux Protocoles additionnels (RS 0.353.11 et 0.353.12). Pour le surplus, l’EIMP et son ordonnance d’exécution (OEIMP; RS 351.11) règlent les questions qui ne sont pas régies, explicitement ou implicitement, par la CEExtr. et s’appliquent, en outre, lorsque leurs dispositions sont plus favorables à l’octroi de l’extradition que le droit international (TPF 2008 24 consid 1.1 et la jurisprudence citée). Le respect des droits fondamentaux est réservé (ATF 123 II 595 consid. 7c; arrêt du Tribunal pénal fédéral RR.2010.40 du</w:t>
      </w:r>
    </w:p>
    <w:p>
      <w:r>
        <w:rPr>
          <w:b/>
        </w:rPr>
        <w:t>E. 5</w:t>
      </w:r>
    </w:p>
    <w:p>
      <w:r>
        <w:t>Le recourant requiert d’être mis au bénéfice de l’assistance judiciaire.</w:t>
      </w:r>
    </w:p>
    <w:p>
      <w:r>
        <w:t>Après le dépôt du recours, la partie qui ne dispose pas de ressources suffi- santes et dont les conclusions ne paraissent pas d’emblée vouées à l’échec est, à sa demande, dispensée par l’autorité de recours, son prési-</w:t>
      </w:r>
    </w:p>
    <w:p>
      <w:r>
        <w:t>- 5 -</w:t>
      </w:r>
    </w:p>
    <w:p>
      <w:r>
        <w:t>dent ou le juge instructeur de payer les frais de procédure (art. 65 al. 1 de la loi fédérale sur la procédure administrative, PA; RS 172.021, applicable par renvoi des art. 28 al. 1 let. e et 30 let. b LTPF ainsi que l’art. 12 al. 1 EIMP). L’autorité de recours, son président ou le juge instructeur attribue un avocat à cette partie si la sauvegarde de ses droits le requiert (art. 65 al. 2 PA).</w:t>
      </w:r>
    </w:p>
    <w:p>
      <w:r>
        <w:t>En l’espèce, les griefs développés sont apparus très insuffisants pour atta- quer la décision d’extradition. Sans doute eût-il été plus efficace pour le re- courant de s’enquérir des règles applicables auprès de l’OFJ; le conseil du recourant, à tout le moins informé de la décision d’extradition dès le 29 juil- let 2010 (mémoire de recours, act. 1, p. 11, § 23), avait tout loisir de pren- dre contact avec l’OFJ afin de clarifier la question de l’exécution de la déci- sion d’extradition, sans risquer de manquer le délai de recours contre celle- ci, fixé au 26 août 2010. Le recours était ainsi d’emblée voué à l’échec</w:t>
      </w:r>
    </w:p>
    <w:p>
      <w:r>
        <w:t>La requête d’assistance judiciaire doit ainsi être rejetée.</w:t>
      </w:r>
    </w:p>
    <w:p>
      <w:r>
        <w:t>Les frais de procédure doivent être mis à la charge du recourant qui suc- combe (art. 63 al. 1 PA). L’émolument judiciaire, calculé conformément à l’art. 3 du règlement du 11 février 2004 fixant les émoluments judiciaires perçus par le Tribunal pénal fédéral (RS 173.711.32; v. art. 63 al. 5 PA), est fixé en l’espèce à CHF 1’000.--.</w:t>
      </w:r>
    </w:p>
    <w:p>
      <w:r>
        <w:t>- 6 -</w:t>
      </w:r>
    </w:p>
    <w:p>
      <w:r>
        <w:t>Par ces motifs, la IIe Cour des plaintes prononce:</w:t>
      </w:r>
    </w:p>
    <w:p>
      <w:r>
        <w:t>1. Le recours est rejeté.</w:t>
      </w:r>
    </w:p>
    <w:p>
      <w:r>
        <w:t>2. La demande d’assistance judiciaire est rejetée.</w:t>
      </w:r>
    </w:p>
    <w:p>
      <w:r>
        <w:t>3. Un émolument judiciaire de CHF 1’000.-- est mis à la charge du recourant.</w:t>
      </w:r>
    </w:p>
    <w:p>
      <w:r>
        <w:t>Bellinzone, le 12 octobre 2010</w:t>
      </w:r>
    </w:p>
    <w:p>
      <w:r>
        <w:t>Au nom de la IIe Cour des plaintes du Tribunal pénal fédéral</w:t>
      </w:r>
    </w:p>
    <w:p>
      <w:r>
        <w:t>La présidente:</w:t>
      </w:r>
    </w:p>
    <w:p>
      <w:r>
        <w:t>Le greffier:</w:t>
      </w:r>
    </w:p>
    <w:p>
      <w:r>
        <w:t>Distribution</w:t>
      </w:r>
    </w:p>
    <w:p>
      <w:r>
        <w:t>- Me Marc Lironi, avocat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