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RR.2010.147 vom 18. November 2010</w:t>
      </w:r>
    </w:p>
    <w:p>
      <w:r>
        <w:t>Bundesstrafgericht, 2010-11-18, IT</w:t>
      </w:r>
    </w:p>
    <w:p>
      <w:r>
        <w:rPr>
          <w:b/>
        </w:rPr>
        <w:t xml:space="preserve">Quelle: </w:t>
      </w:r>
      <w:r>
        <w:t>https://mcp.opencaselaw.ch/entscheid/bstger_RR.2010.147</w:t>
      </w:r>
    </w:p>
    <w:p>
      <w:r>
        <w:t>FR: TPF RR.2010.147 du 18 novembre 2010</w:t>
      </w:r>
    </w:p>
    <w:p>
      <w:r>
        <w:t>IT: TPF RR.2010.147 del 18 novembre 2010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nonché, a partire dal 12 dicem- bre 2008 (Gazzetta ufficiale dell’Unione europea, L 327/15-17, del 5 di- cembre 2008), dagli art. 48 e segg. della Convenzione di applicazione del- l'Accordo di Schengen del 14 giugno 1985 (CAS). Di rilievo nella fattispecie è anche la Convenzione sul riciclaggio, la ricerca, il sequestro e la confisca</w:t>
      </w:r>
    </w:p>
    <w:p>
      <w:r>
        <w:t>- 4 -</w:t>
      </w:r>
    </w:p>
    <w:p>
      <w:r>
        <w:t>dei proventi di reato, conclusa a Strasburgo l’8 novembre, entrata in vigore il 1° settembre 1993 per la Svizzera ed il 1° maggio 1994 per l’Italia (RS 0.311.53). Alle questioni che il prevalente diritto internazionale conte- nuto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(AIMP; RS 351.1), unitamente alla relativa ordinanza (OAIMP; RS 351.11; v. art. 1 cpv. 1 AIMP, art. I n. 2 dell'Accordo italo-svizzero; DTF 136 IV 82 con- sid. 3.1; 124 II 180 consid. 1a; 123 II 134 consid. 1a; 122 II 140 consid. 2). Il principio di favore vale anche nella gerarchia di applicazione delle perti- nenti norme di diritto internazionale (v. art. 48 cpv. 2 CAS). È fatto salvo il rispetto dei diritti fondamentali (DTF 135 IV 212 consid 2.3; 123 II 595 con- sid. 7c, con rinvii dottrinali).</w:t>
      </w:r>
    </w:p>
    <w:p>
      <w:r>
        <w:rPr>
          <w:b/>
        </w:rPr>
        <w:t>E. 1.3</w:t>
      </w:r>
    </w:p>
    <w:p>
      <w:r>
        <w:t>Interposto tempestivamente contro la decisione di chiusura del MPC (v. art. 80k AIMP), il ricorso è ricevibile sotto il profilo dell'art. 80e cpv. 1 in relazione con l'art. 25 cpv. 1 AIMP. La legittimazione della ricorrente, titola- re del conto oggetto della criticata misura d'assistenza, è pacifica (v. art. 80h lett. b AIMP e art. 9a OAIMP; DTF 118 Ib 547 consid. 1d; TPF 2007 79 consid. 1.6 pag. 82).</w:t>
      </w:r>
    </w:p>
    <w:p>
      <w:r>
        <w:rPr>
          <w:b/>
        </w:rPr>
        <w:t>E. 2</w:t>
      </w:r>
    </w:p>
    <w:p>
      <w:r>
        <w:t>La ricorrente lamenta la violazione del diritto di essere sentita non avendole il MPC dato la possibilità di esprimersi sulla documentazione oggetto di tra- smissione e su un’eventuale cernita della medesima.</w:t>
      </w:r>
    </w:p>
    <w:p>
      <w:r>
        <w:rPr>
          <w:b/>
        </w:rPr>
        <w:t>E. 2.1</w:t>
      </w:r>
    </w:p>
    <w:p>
      <w:r>
        <w:t>Il diritto di essere sentito, ancorato all'art. 29 cpv. 2 Cost., viene concretiz- zato nell'ambito dell'assistenza giudiziaria internazionale agli art. 29 e segg. PA richiamato l'art. 12 cpv. 1 AIMP. Esso è di natura formale (DTF 126 I 19 consid. 2d/bb pag. 24; 125 I 113 consid. 3; MICHELE ALBERTINI, Der verfas- sungsmässige Anspruch auf rechtliches Gehör im Verwaltungsverfahren des modernen Staates, tesi Berna 2000, pag. 449 con rinvii). Una violazio- ne di questo diritto fondamentale da parte dell'autorità d'esecuzione non comporta comunque automaticamente l'accoglimento del gravame e l'an- nullamento della decisione impugnata. Secondo la giurisprudenza e la dot- trina una violazione del diritto di essere sentito può essere sanata, se la persona toccata ottiene la possibilità di esprimersi in merito davanti ad una autorità di ricorso, la quale, come nella fattispecie la II Corte dei reclami penali del Tribunale penale federale, dispone del medesimo potere d'esa- me dell'autorità d'esecuzione stessa (v. DTF 124 II 132 consid. 2d; senten- ze del Tribunale federale 1C_525/2008 e 1C_526/2008 del 28 novembre 2008, consid. 1.3 nonché 1A.54/2004 del 30 aprile 2004; TPF 2008 172 consid. 2.3 e segg.; ROBERT ZIMMERMANN, La coopération judiciaire inter-</w:t>
      </w:r>
    </w:p>
    <w:p>
      <w:r>
        <w:t>- 5 -</w:t>
      </w:r>
    </w:p>
    <w:p>
      <w:r>
        <w:t>nationale en matière pénale, 3a ediz., Berna 2009, n. 472 e 484; ALBERTINI, op. cit., pag. 458 e segg.).</w:t>
      </w:r>
    </w:p>
    <w:p>
      <w:r>
        <w:t>Secondo la giurisprudenza, l'autorità di esecuzione, dopo aver concesso al- la persona toccata da una misura di assistenza la possibilità di addurre i motivi che si opporrebbero alla trasmissione di determinati atti e la facoltà di partecipare alla necessaria cernita, ha l'obbligo di motivare accuratamen- te la decisione di chiusura (DTF 130 II 14 consid. 4.4 pag. 18). In altre pa- role, l'autorità svizzera d'esecuzione, in assenza di un eventuale consenso all'esecuzione semplificata (art. 80c AIMP), prima di emanare una decisio- ne di chiusura, deve impartire alle persone toccate giusta l'art. 80h lett. b AIMP e art. 9a OAIMP un termine per addurre riguardo a ogni singolo do- cumento gli argomenti che secondo loro si opporrebbero alla consegna; questo affinché esse possano esercitare in maniera concreta ed effettiva il loro diritto di essere sentiti nel rispetto del principio della buona fede (v. art. 30 cpv. 1 PA; sentenza del Tribunale penale federale RR.2007.96 del 24 settembre 2007, consid. 2.1); la cernita deve aver luogo anche qualora l'interessato rinunci ad esprimersi (DTF 130 II 14 consid. 4.3 e 4.4; 126 II 258 consid. 9b/aa; cfr. anche DTF 127 II 151 consid. 4c/aa; ZIMMERMANN, op. cit., n. 484, 723-724; PASCAL DE PREUX, L'entraide internationale en matière pénale et la lutte contre le blanchiment d'argent, in SJZ 104/2008 n. 2 pag. 34). La persona toccata non può tuttavia accontentarsi di mante- nere un’attitudine passiva: quando sa che delle misure di assistenza sono state adottate, e che una decisione di trasmissione è imminente, deve in- tervenire presso l’autorità d’esecuzione, cercare di conoscere i documenti oggetto di trasmissione ed indicare precisamente quali di essi non dovreb- bero essere trasmessi all’autorità estera (sentenza del Tribunale federale 1A.160/2003 del 10 settembre 2003, consid. 2.1 e 2.3; DTF 126 II 258 con- sid 9b/aa e rinvii; ZIMMERMANN, op. cit., n. 484). La persona toccata da una misura d’esecuzione non può lasciare che l’autorità d’esecuzione proceda sola alla cernita della documentazione, senza fornirle nessun aiuto e poi rimproverarle le violazione del principio della proporzionalità (DTF 130 II 14 consid. 4.3).</w:t>
      </w:r>
    </w:p>
    <w:p>
      <w:r>
        <w:rPr>
          <w:b/>
        </w:rPr>
        <w:t>E. 2.2</w:t>
      </w:r>
    </w:p>
    <w:p>
      <w:r>
        <w:t>Nella fattispecie, va osservato che già il 9 settembre 2009 la ricorrente si è rivolta al MPC chiedendo copia della domanda di assistenza giudiziaria e dei relativi allegati (v. act. 7.11), richiesta a cui il MPC ha dato seguito il 10 settembre 2009 inviando al legale della ricorrente copia della commis- sione rogatoria del 21 agosto 2008, del suo complemento del 10 agosto 2009, della decisione di entrata in materia del 27 agosto 2009 e delle ordi- nanze di edizione bancarie (v. act. 7.12). La decisione di chiusura impugna- ta è intervenuta il 26 giugno 2009, ossia circa 9 mesi dopo; questa Corte ri- tiene che tale lasso di tempo doveva essere sufficiente per la ricorrente per esprimersi sull'integralità della documentazione sequestrata, ciò che essa</w:t>
      </w:r>
    </w:p>
    <w:p>
      <w:r>
        <w:t>- 6 -</w:t>
      </w:r>
    </w:p>
    <w:p>
      <w:r>
        <w:t>avrebbe dovuto ragionevolmente fare prima della decisione di chiusura im- pugnata, invece di mantenere un’attitudine passiva, tanto più che essa ben conosceva, da svariati mesi, la richiesta dell’autorità estera intesa ad otte- nere copia della documentazione bancaria (documentazione di apertura, estratti conto dall’apertura, i dettagli e la corrispondenza) relativa al suo conto. A torto pertanto la ricorrente sostiene che non poteva immaginare che la decisione di trasmissione avrebbe potuto riguardare altri documenti bancari oltre a quelli relativi ai tre bonifici espressamente menzionati dall’autorità estera. Tanto più che per lo meno già da fine agosto 2009 (v. act. 7.11) essa era patrocinata da un legale, per cui non poteva che es- sere debitamente informata sulle procedure in vigore in questo ambito e sui principi che reggono l’assistenza in materia penale. Ne deriva che anche quest’ultima censura deve essere respinta. Si precisa comunque, a titolo abbondanziale, che disponendo questa auto- rità di un pieno potere cognitivo in fatto e in diritto (v. TPF 2007 57) e aven- do avuto i ricorrenti la possibilità, effettivamente utilizzata, di esprimersi compiutamente, in sede di ricorso, anche sulla documentazione oggetto della decisione impugnata, un'eventuale violazione del diritto di essere sen- tito sarebbe stata comunque sanata dalla presente procedura.</w:t>
      </w:r>
    </w:p>
    <w:p>
      <w:r>
        <w:rPr>
          <w:b/>
        </w:rPr>
        <w:t>E. 3</w:t>
      </w:r>
    </w:p>
    <w:p>
      <w:r>
        <w:t>Secondo l’insorgente, gli atti richiesti dall'autorità estera sarebbero in con- trasto con il principio della proporzionalità e costituirebbero una ricerca in- discriminata di prove (fishing expedition). Più precisamente, il MPC avreb- be concluso a torto che la società ricorrente è di pertinenza economica di B.: essa svolgerebbe infatti un’attività industriale e commerciale effettiva e degna di rispetto, B. sarebbe solo uno degli amministratori della società e dunque non sarebbe in grado di esercitare da solo un’influenza decisiva sulla formazione della volontà sociale e, infine, avendo gli azionisti interessi non sempre convergenti, onde evitare decisioni non conformi allo scopo sociale, sarebbe stato addirittura creato un regolamento di organizzazione sofisticato. Secondariamente, non sarebbe contestato neppure dal MPC che i movimenti finanziari relativi al conto della ricorrente ed indicati nella domanda di assistenza giudiziaria in realtà non esistono e, inoltre, sebbene la Procura della Repubblica presso il Tribunale di Crotone rimproveri a B. fatti di rilevanza penale, detti fatti non sarebbero in relazione diretta o indi- retta con la ricorrente o il suo conto bancario. Infine, B. non disporrebbe di nessun diritto di firma sui conti n. 1 e 2, conti il cui avente diritto sarebbe la ricorrente medesima (v. act. 11). Da quanto sopra conseguirebbe che la documentazione bancaria relativa ai conti n. 1 e 2 è senza rapporto diretto ed oggettivo con i fatti menzionati nella domanda di assistenza.</w:t>
      </w:r>
    </w:p>
    <w:p>
      <w:r>
        <w:rPr>
          <w:b/>
        </w:rPr>
        <w:t>E. 3.1</w:t>
      </w:r>
    </w:p>
    <w:p>
      <w:r>
        <w:t>L’assunto non regge. In effetti, come del resto rilevato dall’insorgente me- desima nelle sue premesse al ricorso (v. act. 1 pag. 8), la questione di sa-</w:t>
      </w:r>
    </w:p>
    <w:p>
      <w:r>
        <w:t>- 7 -</w:t>
      </w:r>
    </w:p>
    <w:p>
      <w:r>
        <w:t>pere se le informazioni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sentenza del Tribunale penale federale RR.2007.18 del 21 maggio 2007, consid. 6.3 non pubblicato in TPF 2007 57) o se la domanda appaia abusiva, le infor- mazioni richieste essendo del tutto inidonee a far progredire le indagini (DTF 122 II 134 consid. 7b; 121 II 241 consid. 3a). In base alla giurispru- 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 sid. 3a e b).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genere di inchieste non è consentito in ambito di assi- stenza internazionale sia alla luce del principio della specialità che di quello della proporzionalità (PETER POPP, Grundzüge der internationalen Rechts- hilfe in Strafsachen, Basilea 2001, pag. 280 n. 414 e pag. 204 e seg. n. 309). Tale divieto si fonda semplicemente sul fatto che è inammissibile procedere a casaccio nella raccolta delle prove (DTF 113 Ib 257 con- sid. 5c).</w:t>
      </w:r>
    </w:p>
    <w:p>
      <w:r>
        <w:rPr>
          <w:b/>
        </w:rPr>
        <w:t>E. 3.2</w:t>
      </w:r>
    </w:p>
    <w:p>
      <w:r>
        <w:t>Nella fattispecie, sebbene effettivamente i tre bonifici menzionati nella do- manda di assistenza giudiziaria internazionale del 21 agosto 2008 non sia- no stati riscontrati nella documentazione bancaria relativa al conto della ri- corrente, non è contestato che B. figuri quale avente diritto economico di detto conto come neppure che il medesimo B., indagato dalla procura ita- liana, sia vice presidente del consiglio di amministrazione della società ri- corrente, con diritto di firma individuale (v. act. 1.4). Oltre a ciò, dall’esame della documentazione bancaria il MPC ha rilevato l’esistenza di “transazioni con diverse società, alcune delle quali espressamente menzionate nella rogatoria in quanto controllate dal B. anche attraverso prestanomi (come ad esempio la “D. Spa e la E. SA”)”, nonché di “un bonifico a favore della ru- brica n. 2 EUR pari a 2'000'000 EUR proveniente dalla F. Sr.l. Tale importo è stato quindi bonificato sei giorni dopo a favore della G. Ltd presso altro i- stituto in Svizzera” e di accrediti sul conto, di importo anche consistente, da parte della stessa A. SA (v. act. 1.3 pag. 4). È dunque palese che la docu- mentazione possa interessare le autorità inquirenti. Tra la relazione banca-</w:t>
      </w:r>
    </w:p>
    <w:p>
      <w:r>
        <w:t>- 8 -</w:t>
      </w:r>
    </w:p>
    <w:p>
      <w:r>
        <w:t>ria della ricorrente e l'inchiesta italiana sussiste chiaramente una relazione diretta e oggettiva che non permette di opporsi alle misure di assistenza anche in assenza di un'implicazione della ricorrente nell'operazione crimi- nosa e di una colpevolezza soggettiva ai sensi del diritto penale (v. DTF 120 Ib 251 consid. 5a; sentenza del Tribunale federale 1A.14/2003 del 13 marzo 2003, consid. 2). Di conseguenza, contrariamente all'assunto ricor- suale, l'utilità e la rilevanza potenziale della documentazione litigiosa per il procedimento estero sono date: sotto questo aspetto, il principio della pro- porzionalità non risulta dunque violato. E neppure si può affermare che l’autorità estera stia procedendo a casaccio nella raccolta delle prove. Tutte le relative censure della ricorrente vanno pertanto respinte.</w:t>
      </w:r>
    </w:p>
    <w:p>
      <w:r>
        <w:rPr>
          <w:b/>
        </w:rPr>
        <w:t>E. 4</w:t>
      </w:r>
    </w:p>
    <w:p>
      <w:r>
        <w:t>A titolo sussidiario, la ricorrente invoca la violazione del principio della pro- porzionalità non essendo stata effettuata alcuna cernita della documenta- zione da trasmettere all’autorità estera.</w:t>
      </w:r>
    </w:p>
    <w:p>
      <w:r>
        <w:t>Anche questa censura non ha pregio. Nella fattispecie, i reati contestati ad B. in Italia sono di natura patrimoniale; la documentazione oggetto della decisione impugnata – documentazione descritta nel dettaglio - riguarda un conto bancario intestato alla ricorrente, società di cui B. è vice presidente del consiglio di amministrazione con firma individuale (v. act. 1.4) e del cui conto è avente diritto economico (v. act. 7.16). Ora, quando le autorità e- stere chiedono informazioni su conti bancari allo scopo di ricostruire il flus- so di fondi di sospetta origine criminale, la natura stessa di dette inchieste rende verosimile la necessità di acquisire l'integralità della documentazio- ne. Ciò perché gli inquirenti debbono poter individuare il titolare giuridico ed economico del conto e sapere a quali persone sia pervenuto l'eventuale provento del reato. Va peraltro ricordato che la trasmissione dell'intera do- cumentazione può, in generale, evitare l'inoltro di eventuali domande com- plementari (DTF 121 II 241 consid. 3; sentenza del Tribunale federale 1C_486/2008 dell'11 novembre 2008, consid. 2.4). Si tratta di una maniera di procedere necessaria, se del caso, ad accertare anche l'estraneità della persona toccata dalla procedura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le mi- sure d'assistenza richieste e l'oggetto del procedimento penale estero, spetterà al giudice estero del merito valutare se dalla documentazione se- questrata emerge una connessione penalmente rilevante tra i valori deposi- tati sui conti bancari ed i fatti perseguiti all'estero. Ordinando la trasmissione all’autorità estera della documentazione d’apertura, della corrispondenza e degli estratti conto e giustificativi relativi</w:t>
      </w:r>
    </w:p>
    <w:p>
      <w:r>
        <w:t>- 9 -</w:t>
      </w:r>
    </w:p>
    <w:p>
      <w:r>
        <w:t>ai conti n. 1 e 2 (v. act. 1.3), l’autorità d’esecuzione non ha dunque violato il principio di proporzionalità. Tanto più che essa ha effettivamente esaminato i documenti bancari, avendo potuto constatare che, sebbene tra i medesimi non siano rinvenibili le transazioni indicate nella commissione rogatoria del 21 agosto 2008, sulla relazione appaiono transazioni con diverse società, alcune delle quali espressamente menzionate nella rogatoria o con società che, a suo parere farebbero pensare all’esercizio di un’attività finanziaria nel periodo in cui l’associazione per delinquere - di cui farebbe parte B. - avrebbe agito per fini illeciti (v. act. 1.3 pag. 4).</w:t>
      </w:r>
    </w:p>
    <w:p>
      <w:r>
        <w:rPr>
          <w:b/>
        </w:rPr>
        <w:t>E. 5</w:t>
      </w:r>
    </w:p>
    <w:p>
      <w:r>
        <w:t>In conclusione, il ricorso deve essere integralmente respinto. Le spese se- guono la soccombenza (v. art. 63 cpv. 1 della legge federale sulla procedu- ra amministrativa del 20 dicembre 1968 [PA; RS 172.021] richiamato l’art. 30 lett. b LTPF). La tassa di giustizia è calcolata giusta l’art. 3 del Regola- mento dell’11 febbraio 2004 sulle tasse di giustizia del Tribunale penale fe- derale (RS 173.711.32), richiamato l'art. 63 cpv. 5 PA, ed è fissata nella fat- tispecie a fr. 5'000.-; essa è coperta dall'anticipo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