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RR.2010.142 vom 5. November 2010</w:t>
      </w:r>
    </w:p>
    <w:p>
      <w:r>
        <w:t>Bundesstrafgericht, 2010-11-05, IT</w:t>
      </w:r>
    </w:p>
    <w:p>
      <w:r>
        <w:rPr>
          <w:b/>
        </w:rPr>
        <w:t xml:space="preserve">Quelle: </w:t>
      </w:r>
      <w:r>
        <w:t>https://mcp.opencaselaw.ch/entscheid/bstger_RR.2010.142</w:t>
      </w:r>
    </w:p>
    <w:p>
      <w:r>
        <w:t>FR: TPF RR.2010.142 du 5 novembre 2010</w:t>
      </w:r>
    </w:p>
    <w:p>
      <w:r>
        <w:t>IT: TPF RR.2010.142 del 5 novembre 2010</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degli art. 28 cpv. 1 lett. e della legge sul Tribunale penale federale del</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che completa e agevola l'applicazione della CEAG del 10 settembre 1998 (RS 0.351.945.41), entrato in vigore mediante scambio di note il 1° giugno 2003 nonché, a partire dal 12 dicembre 2008 (Gazzetta uf- ficiale dell’Unione europea, L 327/15-17, del 5 dicembre 2008), dagli art. 48 e segg. della Convenzione di applicazione dell'Accordo di Schengen del 14 giu- gno 1985 (CAS). Di rilievo nella fattispecie è anche la Convenzione sul rici-</w:t>
      </w:r>
    </w:p>
    <w:p>
      <w:r>
        <w:t>- 4 -</w:t>
      </w:r>
    </w:p>
    <w:p>
      <w:r>
        <w:t>claggio, la ricerca, il sequestro e la confisca dei proventi di reato, conclusa a Strasburgo l’8 novembre, entrata in vigore il 1° settembre 1993 per la Svizzera ed il 1° maggio 1994 per l’Italia (RS 0.311.53). Alle questioni che il prevalente diritto internazionale contenuto in detti trattati non regola espressamente o im- plicitamente, come pure quando il diritto nazionale sia più favorevole all'assi- stenza rispetto a quello pattizio (cosiddetto principio di favore), si applicano la legge federale sull'assistenza internazionale in materia penale del 20 marzo 1981 (AIMP; RS 351.1), unitamente alla relativa ordinanza (OAIMP; RS 351.11; v. art. 1 cpv. 1 AIMP, art. I n. 2 dell'Accordo italo-svizzero; DTF 136 IV 82 consid. 3.1; 124 II 180 consid. 1a; 123 II 134 consid. 1a; 122 II 140 consid. 2). Il principio di favore vale anche nella gerarchia di applicazione delle pertinenti norme di diritto internazionale (v. art. 48 cpv. 2 CAS). È fatto salvo il rispetto dei diritti fondamentali (DTF 135 IV 212 consid 2.3; 123 II 595 con- sid. 7c, con rinvii dottrinali).</w:t>
      </w:r>
    </w:p>
    <w:p>
      <w:r>
        <w:rPr>
          <w:b/>
        </w:rPr>
        <w:t>E. 1.3</w:t>
      </w:r>
    </w:p>
    <w:p>
      <w:r>
        <w:t>Secondo la norma speciale dell'art. 25 cpv. 6 AIMP, la Corte dei reclami penali del Tribunale penale federale non è vincolata dalle conclusioni delle parti; es- sa esamina liberamente se i presupposti per la concessione dell'assistenza sono adempiuti e in quale misura questa debba esser prestata (v. DTF 123 II 134 consid. 1d; 118 Ib 269 consid. 2e). Non è tuttavia tenuta, come lo sa- rebbe un'autorità di vigilanza, a verificare d’ufficio la conformità delle decisioni impugnate con l'insieme delle norme applicabili (v. DTF 123 II 134 consid. 1d; 119 Ib 56 consid. 1d). Come già in precedenza il Tribunale federale in ambito di ricorsi di diritto amministrativo, la II Corte dei reclami penali del Tribunale penale federale tratta unicamente questioni di fatto e di diritto oggetto dell’atto di ricorso e non è tenuta a ricercare d’ufficio motivi – non indicati nel ricorso - che si opporrebbero all’assistenza (DTF 132 II 81 consid. 1.4; 130 II 337 con- sid. 1.4, con rinvii; 122 II 367 consid. 2d, con rinvii; sentenze del Tribunale pe- nale federale RR.2009.2 del 9 luglio 2009, consid. 2.4; RR.2007.34 del 29 marzo 2007, consid. 3; LAURENT MOREILLON, Entraide internationale en matière pénale, Basel 2004, Art. 25 AIMP n. 22; sul contenuto minimo dell’atto di ricorso cfr. FRANK SEETHALTER/FABIA BOCHSLER, in Wald- mann/Weissenberger (curatori), Praxiskommentar VwVG, Zurigo/Basilea/Gi- nevra 2009, n. 73 e segg. ad art. 52).</w:t>
      </w:r>
    </w:p>
    <w:p>
      <w:r>
        <w:rPr>
          <w:b/>
        </w:rPr>
        <w:t>E. 1.4</w:t>
      </w:r>
    </w:p>
    <w:p>
      <w:r>
        <w:t>Interposto tempestivamente contro la decisione di chiusura del MPC (v. art. 80k AIMP), il ricorso è ricevibile sotto il profilo dell'art. 80e cpv. 1 in re- lazione con l'art. 25 cpv. 1 AIMP.</w:t>
      </w:r>
    </w:p>
    <w:p>
      <w:r>
        <w:rPr>
          <w:b/>
        </w:rPr>
        <w:t>E. 1.5</w:t>
      </w:r>
    </w:p>
    <w:p>
      <w:r>
        <w:t>Giusta l’art. 80h AIMP, oltre all’UFG (art. 80h lett. a AIMP), ha diritto di ricorre- re chiunque è toccato personalmente e direttamente da una misura d’assis- tenza giudiziaria ed ha un interesse degno di protezione all’annullamento o al- la modifica della stessa (art. 80h lett. b AIMP; v. anche l’art. 21 cpv. 3 AIMP per quanto concerne le persone contro cui è diretto il procedimento penale</w:t>
      </w:r>
    </w:p>
    <w:p>
      <w:r>
        <w:t>- 5 -</w:t>
      </w:r>
    </w:p>
    <w:p>
      <w:r>
        <w:t>all’estero). Più concretamente, nel caso di una richiesta d’informazioni su un conto bancario è considerato personalmente e direttamente toccato il titolare del conto (v. art. 9a lett. a OAIMP; DTF 118 Ib 547 consid. 1d), così come nel- le perquisizioni domiciliari questa qualità spetta al proprietario o al locatario (v. art. 9a lett. b OAIMP), rispettivamente nell’ambito di misure concernenti un veicolo a motore al detentore dello stesso (v. art. 9a lett. c OAIMP). In via giu- risprudenziale è stato altresì precisato che la legittimazione a ricorrere compe- te alla persona direttamente sottoposta a una misura coercitiva (perquisizione, sequestro o interrogatorio; DTF 130 II 162 consid. 1.1; 128 II 211 consid. 2.3; 127 II 198 consid. 2d; 126 II 258 consid. 2d; 124 II 180 consid. 1b; TPF 2007 79 consid. 1.6 pag. 82), mentre gli interessati toccati solo in maniera indiretta, come ad esempio il mero avente diritto economico di un conto bancario, non possono impugnare tali provvedimenti (DTF 122 II 130 consid. 2b e rinvii).</w:t>
      </w:r>
    </w:p>
    <w:p>
      <w:r>
        <w:t>La legittimazione del ricorrente, titolare del conto oggetto della criticata misura d'assistenza, è dunque data soltanto in relazione a detto conto. Essa fa invece difetto per quanto concerne le relazioni bancarie intestate alle società C. SA, Ginevra, e D. SA, Ginevra, relazioni bancarie di cui A. è avente diritto econo- mico.</w:t>
      </w:r>
    </w:p>
    <w:p>
      <w:r>
        <w:t>2. Il ricorrente censura l’abusività della domanda di assistenza, in particolare la mancata collaborazione delle autorità italiane, le quali avrebbero omesso di segnalare che con sentenza del 2 febbraio 2010, cresciuta in giudicato il</w:t>
      </w:r>
    </w:p>
    <w:p>
      <w:r>
        <w:rPr>
          <w:b/>
        </w:rPr>
        <w:t>E. 4</w:t>
      </w:r>
    </w:p>
    <w:p>
      <w:r>
        <w:t>ottobre 2002 (LTPF; RS 173.71) e 9 cpv. 3 del relativo Regolamento (RS 173.710) il primo grado di giurisdizione ricorsuale in materia di assistenza giudiziaria internazionale compete alla II Corte dei reclami penali.</w:t>
      </w:r>
    </w:p>
    <w:p>
      <w:r>
        <w:rPr>
          <w:b/>
        </w:rPr>
        <w:t>E. 5</w:t>
      </w:r>
    </w:p>
    <w:p>
      <w:r>
        <w:t>Analogo discorso vale per la richiesta formulata dal ricorrente di completare la domanda di assistenza tramite il richiamo dal Ministero dello Sviluppo Econo- mico Dipartimento per lo Sviluppo e la Coesione Economica dell’attestazione che non è stata attivata la “polizza cauzionale” e che l’attuazione del pro- gramma è tuttora in atto ad opera del consorzio E. In effetti, come visto più sopra (cfr. supra consid. 2.3), anche se fossero accertate, queste circostanze nulla muterebbero alla validità della domanda di assistenza, la quale – come visto, non risulta né abusiva né priva di oggetto. In queste condizioni, non si giustifica neppure la prospettata audizione dell’Autorità richiedente.</w:t>
      </w:r>
    </w:p>
    <w:p>
      <w:r>
        <w:rPr>
          <w:b/>
        </w:rPr>
        <w:t>E. 6</w:t>
      </w:r>
    </w:p>
    <w:p>
      <w:r>
        <w:t>In conclusione, il ricorso deve essere integralmente respinto. Le spese seguo- no la soccombenza (v. art. 63 cpv. 1 della legge federale sulla procedura am- ministrativa del 20 dicembre 1968 [PA; RS 172.021] richiamato l’art. 30 lett. b LTPF). La tassa di giustizia è calcolata giusta l’art. 3 del Regolamento dell’11 febbraio 2004 sulle tasse di giustizia del Tribunale penale federale (RS 173.711.32), richiamato l'art. 63 cpv. 5 PA, ed è fissata nella fattispecie a fr. 5'000.-; essa è coperta dall'anticipo delle spese già versato.</w:t>
      </w:r>
    </w:p>
    <w:p>
      <w:r>
        <w:t>- 9 -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