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RR.2010.110 vom 26. Juli 2010</w:t>
      </w:r>
    </w:p>
    <w:p>
      <w:r>
        <w:t>Bundesstrafgericht, 2010-07-26, IT</w:t>
      </w:r>
    </w:p>
    <w:p>
      <w:r>
        <w:rPr>
          <w:b/>
        </w:rPr>
        <w:t xml:space="preserve">Quelle: </w:t>
      </w:r>
      <w:r>
        <w:t>https://mcp.opencaselaw.ch/entscheid/bstger_RR.2010.110</w:t>
      </w:r>
    </w:p>
    <w:p>
      <w:r>
        <w:t>FR: TPF RR.2010.110 du 26 juillet 2010</w:t>
      </w:r>
    </w:p>
    <w:p>
      <w:r>
        <w:t>IT: TPF RR.2010.110 del 26 luglio 2010</w:t>
      </w:r>
    </w:p>
    <w:p>
      <w:pPr>
        <w:pStyle w:val="Heading2"/>
      </w:pPr>
      <w:r>
        <w:t>Regeste</w:t>
      </w:r>
    </w:p>
    <w:p>
      <w:r>
        <w:t>Assistenza giudiziaria internazionale in materia penale all'Italia/ Consegna di mezzi di prova e sequestro (art. 74 AIMP): legittimazione ricorsuale; proporzionalità e utilità potenziale; diritto di essere sentito; sequestro.</w:t>
      </w:r>
    </w:p>
    <w:p>
      <w:pPr>
        <w:pStyle w:val="Heading2"/>
      </w:pPr>
      <w:r>
        <w:t>Erwägungen</w:t>
      </w:r>
    </w:p>
    <w:p>
      <w:r>
        <w:rPr>
          <w:b/>
        </w:rPr>
        <w:t>E. 1</w:t>
      </w:r>
    </w:p>
    <w:p>
      <w:r>
        <w:t>AIMP, art. I n. 2 dell'Accordo italo-svizzero; DTF 135 IV 212 consid. 2.3; 123 II 134 consid. 1a; 122 II 140 consid. 2). Il principio di favore vale anche nell'applicazione delle pertinenti norme di diritto internazionale (v. art. 48 CAS). È fatto salvo il rispetto dei diritti fondamentali (DTF 123 II 595 consid. 7c).</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che completa e agevola l'applicazione della CEAG del 10 settembre 1998 (RS 0.351.945.41), entrato in vigore mediante scambio di note il 1° giugno 2003 (in seguito: l'Accordo italo- svizzero) nonché, a partire dal 12 dicembre 2008 (Gazzetta ufficiale dell’Unione europea, L 327/15-17, del 5 dicembre 2008), dagli art. 48 e</w:t>
      </w:r>
    </w:p>
    <w:p>
      <w:r>
        <w:t>- 4 -</w:t>
      </w:r>
    </w:p>
    <w:p>
      <w:r>
        <w:t>segg. (in materia di altra assistenza) dalla Convenzione di applicazione del- l'Accordo di Schengen del 14 giugno 1985 (CAS). Di rilievo nella fattispecie è anche la Convenzione sul riciclaggio, la ricerca, il sequestro e la confisca dei proventi di reato, conclusa a Strasburgo l’8 novembre, entrata in vigore il 1° settembre 1993 per la Svizzera ed il 1° maggio 1994 per l’Italia (CRic; RS 0.311.53). Alle questioni che il prevalente diritto internazionale contenu- to in detti trattati non regola espressamente o implicitamente, come pure quando il diritto nazionale sia più favorevole all'assistenza rispetto a quello pattizio (cosiddetto principio di favore), si applicano la legge federale sul- l'assistenza internazionale in materia penale del 20 marzo 1981 (AIMP; RS 351.1), unitamente alla relativa ordinanza (OAIMP; RS 351.11; v. art. 1 cpv.</w:t>
      </w:r>
    </w:p>
    <w:p>
      <w:r>
        <w:rPr>
          <w:b/>
        </w:rPr>
        <w:t>E. 1.3</w:t>
      </w:r>
    </w:p>
    <w:p>
      <w:r>
        <w:t>Interposto tempestivamente contro la decisione di chiusura del Ministero pubblico ticinese (v. art. 80k AIMP), il ricorso è ricevibile sotto il profilo del- l'art. 80e cpv. 1 in relazione con l'art. 25 cpv. 1 AIMP. A. e B. sono legitti- mate a ricorrere contro il sequestro e la trasmissione di documentazione bancaria relativa ai conti presso la banca D. di cui sono intestatarie (v. art. 80h lett. b AIMP e art. 9a lett. a OAIMP; DTF 118 Ib 547 consid. 1d; TPF 2007 79 consid. 1.6 pag. 82). Esse non sono per contro legittimate a ricor- rere contro la consegna della documentazione concernente gli assegni a favore di B. in possesso della banca E., presso la quale le ricorrenti non ri- sultano abbiano avuto conti bancari (v. atto 11 MPTI). In questo senso le ri- correnti non sono direttamente toccate dalla misura (art. 21 cpv. 3, 80h AIMP e 9a lett. a OAIMP; Rep. 1997 N° 15; RStrS/BJP 2001 N° 17).</w:t>
      </w:r>
    </w:p>
    <w:p>
      <w:r>
        <w:rPr>
          <w:b/>
        </w:rPr>
        <w:t>E. 2</w:t>
      </w:r>
    </w:p>
    <w:p>
      <w:r>
        <w:t>Le ricorrenti sostengono che i valori patrimoniali depositati sulle relazioni bancarie a loro intestate sono inconfutabilmente leciti ed estranei alla ver- tenza penale italiana. Tali valori sarebbero già stati oggetto in passato di un sequestro rogatoriale a richiesta dell'Italia allorquando si trovavano su conti bancari di pertinenza delle ricorrenti a San Marino. Le autorità di questo Paese, constatata l'assenza di un loro legame con i fatti oggetto dell'inchie- sta estera, avrebbero dissequestrato i valori in questione, i quali sarebbero poi giunti in Svizzera sui conti di cui alla decisione impugnata. Alla luce di quanto precede, la trasmissione della documentazione bancaria litigiosa, contraria al principio della proporzionalità, non si giustificherebbe.</w:t>
      </w:r>
    </w:p>
    <w:p>
      <w:r>
        <w:rPr>
          <w:b/>
        </w:rPr>
        <w:t>E. 2.1</w:t>
      </w:r>
    </w:p>
    <w:p>
      <w:r>
        <w:t>La questione di sapere se le informazioni richieste nell'ambito di una do- manda di assistenza siano necessarie o utili per il procedimento estero de-</w:t>
      </w:r>
    </w:p>
    <w:p>
      <w:r>
        <w:t>- 5 -</w:t>
      </w:r>
    </w:p>
    <w:p>
      <w:r>
        <w:t>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sentenza del Tribunale penale federale RR.2007.18 del 21 maggio 2007, consid. 6.3 non pubblicato in TPF 2007 57) o se la do- manda appaia abusiva, le informazioni richieste essendo del tutto inidonee a far progredire le indagini (DTF 122 II 134 consid. 7b; 121 II 241 con- sid. 3a). In base alla giurisprudenza l'esame va quindi limitato alla cosiddet- ta utilità potenziale, secondo cui la consegna giusta l'art. 74 AIMP è esclu- sa soltanto per quei mezzi di prova certamente privi di rilevanza per il pro- cedimento penale all'estero (DTF 126 II 258 consid. 9c pag. 264; 122 II 367 consid. 2c; 121 II 241 consid. 3a e b).</w:t>
      </w:r>
    </w:p>
    <w:p>
      <w:r>
        <w:rPr>
          <w:b/>
        </w:rPr>
        <w:t>E. 2.2</w:t>
      </w:r>
    </w:p>
    <w:p>
      <w:r>
        <w:t>Nella fattispecie, l'utilità potenziale della documentazione di cui l'autorità rogata ha disposto la trasmissione è certamente data. Come evidenziato nella domanda di assistenza dell'8 marzo 2008 (v. act. 1 MPTI, pag. 23), l'autorità estera ha dapprima inoltrato una richiesta di assistenza a San Ma- rino per individuare i rapporti intrattenuti dalle persone indagate, comprese quelle a loro vicine (sorelle, mogli e compagni vari), con gli istituti di credito e/o società finanziarie di San Marino. L'autorità rogante ha accertato l'esi- stenza di numerosi rapporti di conto corrente intestati, oltre che a compo- nenti della famiglia A. e C., anche a soggetti economici ad essa riconducibi- li, quali la società spagnola H., le italiane I., J., K. e L. L'analisi degli estratti conto acquisiti ha evidenziato movimentazioni di rilevanti importi relativi a versamenti di assegni circolari, contante ed operazioni di giroconto interve- nuti tra i conti stessi. In sostanza, sono risultate con una certa sistematicità operazioni di versamento di assegni bancari e circolari e contestuali prelievi di contanti per diversi milioni di euro con destinazione sconosciuta. Per quanto attiene più particolarmente alla moglie di C., B., l'autorità italiana ha constatato che la stessa, già intestataria di conti correnti presso la banca G. di San Marino, con delega ad operare a favore del figlio M., risulta bene- ficiaria di dieci assegni circolari emessi in data 21 gennaio 2009 dalla ban- ca G. di San Marino, per un importo di EUR 50'000.- cadauno e un undice- simo per un importo di EUR 6'450.-. Detti assegni sono stati inviati alla banca emittente, la banca G., dalla banca F. per l'accredito della relativa provvista da eseguirsi su di un conto utilizzato da quest'ultima banca quale conto transitorio per svolgere operazioni per conto terzi. L'importo com- plessivo degli assegni tratti dalla banca sammarinese coinciderebbe so- stanzialmente con l'importo giacente sui predetti conti, per un ammontare, in data 14 maggio 2008, di EUR 507'780.66, ciò che lascerebbe supporre che tale provvista sia stata utilizzata per l'emissione dei titoli di credito in</w:t>
      </w:r>
    </w:p>
    <w:p>
      <w:r>
        <w:t>- 6 -</w:t>
      </w:r>
    </w:p>
    <w:p>
      <w:r>
        <w:t>questione. L'incasso di quest'ultimi è avvenuto presso la filiale di Lugano della banca D., come risulta dai timbri apposti sul retro dei titoli, i quali, do- po essere stati girati dalla banca D. alla banca E. sempre di Lugano, sono pervenuti alla banca F. che ha provveduto a spedirli all'istituto trassato. Vi- sto quanto precede, è innegabile che la documentazione di cui è stata ordi- nata la trasmissione all'estero è potenzialmente utile per chiarire se il dena- ro giunto sui conti delle ricorrenti sia di origine criminale, segnatamente se sia da ricondurre alle frodi "carosello" di cui in narrativa. Non va del resto dimenticato che quando l'autorità estera procede per reati di natura patri- moniale, la documentazione bancaria risulta di principio necessaria nella sua totalità. Quando le autorità estere chiedono informazioni su conti ban- cari allo scopo di ricostruire il flusso di fondi di sospetta origine criminale, la natura stessa di dette inchieste rende verosimile la necessità di acquisire l'integralità della documentazione. Ciò perché gli inquirenti debbono poter individuare il titolare giuridico ed economico del conto e sapere a quali per- sone sia pervenuto l'eventuale provento del reato. Va peraltro ricordato che la trasmissione dell'intera documentazione può, in generale, evitare l'inoltro di eventuali domande complementari (DTF 121 II 241 consid. 3; sentenza del Tribunale federale 1C_486/2008 dell'11 novembre 2008, consid. 2.4). Si tratta di una maniera di procedere necessaria, se del caso, ad accertare anche l'estraneità della persona toccata dalla procedura (DTF 129 II 462 consid. 5.5; sentenze del Tribunale federale 1A.182/2006 del 9 agosto 2007, consid. 2.3 e 3.2; 1A.52/2007 del 20 luglio 2007, consid. 2.1.3; 1A.227/2006 del 22 febbraio 2007, consid. 3.2; 1A.195/2005 del 1° settem- bre 2005 in fine; 1A.79/2005 del 27 aprile 2005, consid. 4.1). Costatata la sufficiente relazione tra le misure d'assistenza richieste e l'oggetto del pro- cedimento penale estero, spetterà al giudice estero del merito valutare se dalla documentazione sequestrata emerge una connessione penalmente ri- levante tra i valori depositati sui conti bancari ed i fatti perseguiti all'estero. Riassumendo, la decisione impugnata non viola dunque il principio della proporzionalità.</w:t>
      </w:r>
    </w:p>
    <w:p>
      <w:r>
        <w:rPr>
          <w:b/>
        </w:rPr>
        <w:t>E. 2.3</w:t>
      </w:r>
    </w:p>
    <w:p>
      <w:r>
        <w:t>Per quanto riguarda l'ordinanza del 26 novembre 2008 emanata dal Tribu- nale commissariale civile e penale della Repubblica di San Marino, invoca- ta dalle ricorrenti per sostanziare la provenienza lecita dei valori loro se- questrati, va innanzitutto sottolineato che essa non è formalmente vincolan- te per le autorità svizzere, le quali nondimeno devono valutare se le con- clusioni nel merito dei tribunali di uno Stato a sua volta firmatario della CEAG e della CRic possono essere materialmente di rilievo nella procedu- ra svizzera. A questo proposito, si rileva che il magistrato sammarinese ha effettivamente ordinato il dissequestro di conti presso la banca G. di perti- nenza di A. e di B. (v. atto 21 MPTI, punto 9.3 pag. 27 e segg. dell'ordinan- za). Per quanto attiene ai valori di A., esso ha affermato che le autorità ita- liane non avrebbero prodotto elementi che legano tale conto con l'attività</w:t>
      </w:r>
    </w:p>
    <w:p>
      <w:r>
        <w:t>- 7 -</w:t>
      </w:r>
    </w:p>
    <w:p>
      <w:r>
        <w:t>criminale del fratello, considerando il solo legame di sangue insufficiente per mantenere la misura coercitiva. Per quanto riguarda invece i valori di B. esso ha ritenuto la delega ad operare per conto di M. insufficiente per man- tenere il sequestro bancario. Pertinentemente sollecitata dall'autorità d'ese- cuzione a confrontarsi con l'ordinanza in questione, l'autorità italiana ha precisato che dalla nota informativa della Guardia di Finanza dell'8 aprile 2009 emerge, proprio con riferimento al contratto di amministrazione fidu- ciaria di patrimoni mobiliari n. 3 intestato a A., che essa avrebbe "acceso, in data 03/12/07, il conto corrente nr. 4 presso la banca G. mediante il versa- mento di 174'000.- Euro provenienti dal conto corrente 5, intestato a N. persona sentimentalmente legata al fratello C., conto utilizzato, per movi- mentare notevoli quantità di denaro provenienti dalle operazioni illecite nel settore del commercio di materie prime plastiche. Tale somma è stata uti- lizzata poi per la sottoscrizione del mandato fiduciario in esame sul quale sono successivamente stati versati due pingui flussi finanziari per l'importo di 300'000.- e 400'000.- Euro, adducendoli come provenienti da una eredi- tà. Ebbene, dagli accertamenti svolti proprio con riferimento alle asserite eredità è emerso che i proventi delle vendite degli immobili ricevuti a segui- to dell'eredità relativa a O. sono stati incassati sul territorio italiano e non vi è prova che le stesse siano transitate sui conti sammarinesi. Di talché ap- pare verosimile, in considerazione del fatto che A., non ha mai svolto un'at- tività lavorativa tale da giustificare l'introito di somme così rilevanti, che le stesse provengano dalle attività illecite di C." (v. atto 49 MPTI, con gli alle- gati). Alla luce di quanto esposto, ed in particolare tenuto conto dei punti di contatto a livello di operazioni bancarie tra i conti di pertinenza delle perso- ne indagate e delle società a loro riconducibili con i conti intestati alle qui ri- correnti, questa Corte ha valide ragioni per scostarsi dalle considerazioni che stavano alla base della decisione di dissequestro dell'autorità samma- rinese, la quale, va precisato, oltre a non poter applicare ancora la CEAG (entrata in vigore il 16 giugno 2009) non disponeva nemmeno in quel mo- mento delle informazioni contenute nella nota informativa della Guardia di Finanza dell'8 aprile 2009. Anche sotto questo profilo l'impugnativa va per- tanto respinta.</w:t>
      </w:r>
    </w:p>
    <w:p>
      <w:r>
        <w:rPr>
          <w:b/>
        </w:rPr>
        <w:t>E. 3</w:t>
      </w:r>
    </w:p>
    <w:p>
      <w:r>
        <w:t>Le ricorrenti ritengono che il rifiuto di dissequestro pronunciato dall'autorità d'esecuzione sia immotivato.</w:t>
      </w:r>
    </w:p>
    <w:p>
      <w:r>
        <w:t>Il diritto di ottenere una decisione motivata è parte integrante del diritto di essere sentito e deriva a sua volta dall'art. 29 cpv. 2 Cost. (sentenza del Tribunale federale 1P.57/2005 del 12 agosto 2005, consid. 2.3). La motiva- zione può essere considerata sufficiente allorquando l'interessato è in mi- sura di potersi rendere conto della decisione e di contestarla con cognizio- ne di causa presso l'autorità di ricorso (DTF 126 I 15 consid. 2a/aa pag. 17;</w:t>
      </w:r>
    </w:p>
    <w:p>
      <w:r>
        <w:t>- 8 -</w:t>
      </w:r>
    </w:p>
    <w:p>
      <w:r>
        <w:t>125 II 369 consid. 2c; 124 II 146 consid. 2a; 124 V 180 consid. 1a). Nel ca- so concreto il Ministero pubblico ticinese, seppur in maniera sintetica, ha sufficientemente spiegato i motivi che lo hanno portato ad emanare la deci- sione impugnata, indicando sia i principali fatti da esso ritenuti sia le moti- vazioni giuridiche che lo hanno determinato ad accogliere la rogatoria, in particolare con riguardo all’utilità potenziale della documentazione relativa ai conti di pertinenza delle ricorrenti (v. act. 1.2 pag. 2 e seg. nonché 6), considerazioni che hanno portato di riflesso al mantenimento dei sequestri impugnati. In definitiva, le ricorrenti conoscevano i motivi dei sequestri e di- sponevano di sufficienti informazioni per valutare se contestare la misura coercitiva, ciò che hanno d'altronde fatto mediante il loro articolato ricorso di quattordici pagine. La censura va quindi respinta.</w:t>
      </w:r>
    </w:p>
    <w:p>
      <w:r>
        <w:rPr>
          <w:b/>
        </w:rPr>
        <w:t>E. 4</w:t>
      </w:r>
    </w:p>
    <w:p>
      <w:r>
        <w:t>Le ricorrenti si oppongono infine al mantenimento del sequestro.</w:t>
      </w:r>
    </w:p>
    <w:p>
      <w:r>
        <w:t>L'autorità che entra nel merito di una domanda d'assistenza giudiziaria in- ternazionale e, in esecuzione della stessa, ordina un sequestro, deve veri- ficare che tale provvedimento abbia un legame sufficientemente stretto con i fatti esposti nella domanda e non sia manifestamente disproporzionato per rapporto a quest'ultima (DTF 130 II 329 consid. 3). Ebbene, visto quan- to esposto nei precedenti considerandi, è senz'altro possibile affermare che esistono elementi sufficienti per confermare i sequestri contestati. Toccherà poi all'autorità estera esaminare il contenuto della documentazione di cui è stata ordinata la trasmissione e accertare l'eventuale provenienza illecita dei fondi sequestrati. Dovessero i valori in questione essere effettivamente il risultato d'infrazioni penali, essi potrebbero fare l'oggetto di una decisione di confisca o di restituzione all'avente diritto nello Stato richiedente (v. art. 74a cpv. 1 e 2 AIMP e art. 13 e segg. CRic, nonché DTF 123 II 134 con- sid. 5c, 268 consid. 4, 595 consid. 3). Il sequestro di tali fondi deve essere mantenuto sino alla notifica di una decisione definitiva ed esecutiva dello Stato richiedente o fintanto che quest'ultimo non abbia comunicato che una tale decisione non può più essere pronunciata (art. 74a cpv. 3 AIMP e 33a OAIMP; TPF 2007 124 consid. 8 e rinvii; v. anche art. 11 e seg. CRic), fer- mo restando la necessità che la procedura all'estero avanzi (DTF 126 II 462 consid. 5e). Le ricorrenti non hanno peraltro sostanziato nessun pre- giudizio economico cagionato dai sequestri. Anche da questo punto di vista i blocchi in questione non presentano alcun elemento di sproporzionalità. Ne consegue che i sequestri vanno confermati e la relativa censura respin- ta.</w:t>
      </w:r>
    </w:p>
    <w:p>
      <w:r>
        <w:rPr>
          <w:b/>
        </w:rPr>
        <w:t>E. 5</w:t>
      </w:r>
    </w:p>
    <w:p>
      <w:r>
        <w:t>In conclusione, il ricorso deve essere respinto nella misura della sua am- missibilità. Le spese seguono la soccombenza (v. art. 63 cpv. 1 della legge</w:t>
      </w:r>
    </w:p>
    <w:p>
      <w:r>
        <w:t>- 9 -</w:t>
      </w:r>
    </w:p>
    <w:p>
      <w:r>
        <w:t>federale sulla procedura amministrativa del 20 dicembre 1968 [PA; RS 172.021] richiamato l’art. 30 lett. b LTPF). La tassa di giustizia è calcolata giusta l’art. 3 del Regolamento dell’11 febbraio 2004 sulle tasse di giustizia del Tribunale penale federale (RS 173.711.32), richiamato l'art. 63 cpv. 5 PA, ed è fissata nella fattispecie a complessivi fr. 6'000.- (fr. 3'000.- cadau- na) in solido; essa è coperta dall'anticipo delle spese già versato.</w:t>
      </w:r>
    </w:p>
    <w:p>
      <w:r>
        <w:t>- 10 -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