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RR.2010.106 vom 17. September 2010</w:t>
      </w:r>
    </w:p>
    <w:p>
      <w:r>
        <w:t>Bundesstrafgericht, 2010-09-17, IT</w:t>
      </w:r>
    </w:p>
    <w:p>
      <w:r>
        <w:rPr>
          <w:b/>
        </w:rPr>
        <w:t xml:space="preserve">Quelle: </w:t>
      </w:r>
      <w:r>
        <w:t>https://mcp.opencaselaw.ch/entscheid/bstger_RR.2010.106</w:t>
      </w:r>
    </w:p>
    <w:p>
      <w:r>
        <w:t>FR: TPF RR.2010.106 du 17 septembre 2010</w:t>
      </w:r>
    </w:p>
    <w:p>
      <w:r>
        <w:t>IT: TPF RR.2010.106 del 17 settembre 2010</w:t>
      </w:r>
    </w:p>
    <w:p>
      <w:pPr>
        <w:pStyle w:val="Heading2"/>
      </w:pPr>
      <w:r>
        <w:t>Regeste</w:t>
      </w:r>
    </w:p>
    <w:p>
      <w:r>
        <w:t>Assistenza giudiziaria internazionale in materia penale all'Italia/ Consegna di mezzi di prova (art. 74 AIMP): proporzionalità; diritto di essere sentito; segreto bancario.</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dalla Convenzione di applicazione dell'Accordo di Schengen del 14 giugno 1985 (CAS). Di rilievo nella fattispecie è anche la Convenzione sul</w:t>
      </w:r>
    </w:p>
    <w:p>
      <w:r>
        <w:t>- 4 -</w:t>
      </w:r>
    </w:p>
    <w:p>
      <w:r>
        <w:t>riciclaggio, la ricerca, il sequestro e la confisca dei proventi di reato, con- 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dell'Accordo italo-svizzero; DTF 135 IV 212 consid. 2.3; 123 II 134 consid. 1a; 122 II 140 consid. 2). Il principio di favore vale anche nell'appli- cazione delle pertinenti norme di diritto internazionale (v. art. 48 CAS). È fatto salvo il rispetto dei diritti fondamentali (DTF 123 II 595 consid. 7c).</w:t>
      </w:r>
    </w:p>
    <w:p>
      <w:r>
        <w:rPr>
          <w:b/>
        </w:rPr>
        <w:t>E. 1.3</w:t>
      </w:r>
    </w:p>
    <w:p>
      <w:r>
        <w:t>Il ricorso è stato tempestivamente interposto contro la decisione di chiusura del Ministero pubblico ticinese (v. art. 80k AIMP). La legittimazione della A. Limited, titolare del conto oggetto della criticata misura d'assistenza, è paci- fica (v. art. 80h lett. b AIMP e art. 9a OAIMP; DTF 118 Ib 547 consid. 1d; TPF 2007 79 consid. 1.6 pag. 82). Essa fa per contro difetto per quanto ri- guarda B., essendo la stessa unicamente avente diritto economico della re- lazione in questione (v. DTF 122 II 130 consid. 2b e rinvii). Solo il gravame della società è dunque ammissibile.</w:t>
      </w:r>
    </w:p>
    <w:p>
      <w:r>
        <w:rPr>
          <w:b/>
        </w:rPr>
        <w:t>E. 2</w:t>
      </w:r>
    </w:p>
    <w:p>
      <w:r>
        <w:t>La società A. Limited (in seguito: la ricorrente) censura la violazione del principio della proporzionalità per avere il Ministero pubblico ticinese ordi- nato la trasmissione di documentazione inutile per il procedimento penale italiano.</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è manifestamente disatteso (DTF 120 Ib 251 consid. 5c; sentenza del Tribunale penale federale RR.2007.18 del 21 maggio 2007, consid. 6.3 non pubblicato in TPF 2007 57) o se la do- manda appare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w:t>
      </w:r>
    </w:p>
    <w:p>
      <w:r>
        <w:t>- 5 -</w:t>
      </w:r>
    </w:p>
    <w:p>
      <w:r>
        <w:t>cedimento penale all'estero (DTF 126 II 258 consid. 9c pag. 264; 122 II 367 consid. 2c; 121 II 241 consid. 3a e b).</w:t>
      </w:r>
    </w:p>
    <w:p>
      <w:r>
        <w:rPr>
          <w:b/>
        </w:rPr>
        <w:t>E. 2.2</w:t>
      </w:r>
    </w:p>
    <w:p>
      <w:r>
        <w:t>Nella fattispecie, l'utilità potenziale della documentazione di cui l'autorità rogata ha disposto la trasmissione è certamente data. Come evidenziato nella nota informativa della Guardia di finanza allegata al complemento ro- gatoriale del 7 luglio 2009 (v. atto 23 MPTI), l'autorità inquirente italiana ha sequestrato presso l'abitazione a Milano dell'indagato E. documentazione contabile ed extracontabile inerente alla ditta individuale F. riconducibile a G., ditta che l'autorità estera presume coinvolta nella truffa di tipo "carosel- lo" già descritta (v. supra consid. A). L'analisi della documentazione banca- ria rinvenuta in sede di perquisizione ha permesso di identificare compiu- tamente alcuni rapporti di conto corrente intestati alla summenzionata ditta. In particolare, la documentazione relativa a due conti correnti ha permesso di evidenziare versamenti di ingenti somme di denaro tramite assegni ban- cari a destinazione del conto in Svizzera della ricorrente oggetto della deci- sione di chiusura qui impugnata (v. atto 23 MPTI, pag. 4). Visto quanto pre- cede, è innegabile che la documentazione di cui è stata ordinata la tra- smissione all'estero è potenzialmente utile per chiarire se il denaro giunto sul conto della ricorrente sia di origine criminale, segnatamente se sia da ricondurre alle frodi "carosello" di cui in narrativa. Non va del resto dimenti- cato che quando l'autorità estera procede per reati di natura patrimoniale, la documentazione bancaria risulta di principio necessaria nella sua totalità. Quando le autorità estere chiedono informazioni su conti bancari allo scopo di ricostruire il flusso di fondi di sospetta origine criminale, la natura stessa di dette inchieste rende verosimile la necessità di acquisire l'integralità della documentazione. Ciò perché gli inquirenti debbono poter individuare il tito- lare giuridico ed economico del conto e sapere a quali persone sia perve- nuto l'eventuale provento del reato. La trasmissione dell'intera documenta- zione può inoltre evitare che si renda necessario il successivo inoltro di e- ventuali domande complementari (DTF 121 II 241 consid. 3; sentenza del Tribunale federale 1C_486/2008 dell'11 novembre 2008, consid. 2.4). Si tratta di una maniera di procedere necessaria, se del caso, ad accertare anche l'estraneità della persona toccata dalla procedura (DTF 129 II 462 consid. 5.5; sentenze del Tribunale federale 1A.182/2006 del 9 agosto 2007, consid. 2.3 e 3.2; 1A.52/2007 del 20 luglio 2007, consid. 2.1.3; 1A.227/2006 del 22 febbraio 2007, consid. 3.2; 1A.195/2005 del 1° settem- bre 2005 in fine; 1A.79/2005 del 27 aprile 2005, consid. 4.1). Costatata la sufficiente relazione tra la misura d'assistenza richiesta e l'oggetto del pro- cedimento penale estero, spetterà al giudice estero del merito valutare se dalla documentazione sequestrata emerge una connessione penalmente ri- levante tra i valori depositati sul conto bancario ed i fatti perseguiti all'este- ro. Riassumendo, la decisione impugnata non viola il principio della propor- zionalità.</w:t>
      </w:r>
    </w:p>
    <w:p>
      <w:r>
        <w:t>- 6 -</w:t>
      </w:r>
    </w:p>
    <w:p>
      <w:r>
        <w:rPr>
          <w:b/>
        </w:rPr>
        <w:t>E. 3</w:t>
      </w:r>
    </w:p>
    <w:p>
      <w:r>
        <w:t>Secondo l'insorgente la motivazione contenuta nella decisione impugnata sarebbe insufficiente.</w:t>
      </w:r>
    </w:p>
    <w:p>
      <w:r>
        <w:t>Il diritto di ottenere una decisione motivata è parte integrante del diritto di essere sentito e deriva a sua volta dall'art. 29 cpv. 2 Cost. (sentenza del Tribunale federale 1P.57/2005 del 12 agosto 2005, consid. 2.3). La motiva- zione può essere considerata sufficiente allorquando l'interessato è in mi- sura di potersi rendere conto della decisione e di contestarla con cognizio- ne di causa presso l'autorità di ricorso (DTF 126 I 15 consid. 2a/aa pag. 17; 125 II 369 consid. 2c; 124 II 146 consid. 2a; 124 V 180 consid. 1a). Nel ca- so concreto il Ministero pubblico ticinese ha, seppur in maniera sintetica, sufficientemente spiegato i motivi che lo hanno portato ad emanare la deci- sione impugnata, indicando sia i principali fatti da esso ritenuti sia le moti- vazioni giuridiche che lo hanno determinato ad accogliere la rogatoria, in particolare con riguardo all’utilità potenziale della documentazione relativa al conto di pertinenza della ricorrenti (v. act. 1.1 pag. 2-3 nonché 6). In de- finitiva, la ricorrente conosceva i motivi della perquisizione del proprio conto e disponeva di sufficienti informazioni per valutare se contestare la misura coercitiva, ciò che ha d'altronde fatto mediante il presente ricorso. La cen- sura va quindi respinta.</w:t>
      </w:r>
    </w:p>
    <w:p>
      <w:r>
        <w:rPr>
          <w:b/>
        </w:rPr>
        <w:t>E. 4</w:t>
      </w:r>
    </w:p>
    <w:p>
      <w:r>
        <w:t>La ricorrente sostiene che la misura contestata viola il segreto bancario. Così facendo omette di considerare che esso non rappresenta di per sé un ostacolo legale all'assistenza giudiziaria internazione in materia penale (v. DTF 127 II 151 consid. 4c/aa; 125 II 83 consid. 5; 123 II 153 consid. 7; D. BODMER/B. KLEINER/B. LUTZ, Kommentar zum Bundesgesetz über die Ban- ken und Sparkassen, Zurigo 2006, n. 130 ad art. 47 LBCR; M. AUBERT/J.- P. KERNEN/H. SCHÖNLE, Le secret bancaire suisse, 3a ediz., Berna 1995, pag. 448; CAROLINE GSTÖHL, Geheimnisschutz im Verfahren der internatio- nalen Rechtshilfe in Strafsachen, tesi, Berna 2008, pag. 194). Tale segreto, sancito all'art. 47 della legge sulle banche e le casse di risparmio (LBCR; RS 952.0) e completato dal corollario del segreto borsistico di cui all'art. 43 della legge sulle borse ed il commercio di valori mobiliari (LBVM; RS 954.1; v. ROBERT ROTH, Le secret de négociant [art. 43 LBVM]: norme charnière ou norme inutile?, in J.-B. Ackermann/A. Donatsch/J. Rehberg [curatori], Wirtschaft und Strafrecht – Festschrift für Niklaus Schmid zum 65. Gebur- tstag, Zurigo 2001, pag. 461), è peraltro già relativizzato dalle disposizioni delle legislazioni federali e cantonali sull’obbligo di dare informazioni all’autorità o di testimoniare in giudizio (v. art. 47 cpv. 4 LBCR e 43 cpv. 4 LBVM; GÜNTER STRATENWERTH, Bankengesetz, Commentario basilese, n. 32 e segg. ad art. 47 LBCR; MARC SVEN NATER, Die Strafbestimmungen</w:t>
      </w:r>
    </w:p>
    <w:p>
      <w:r>
        <w:t>- 7 -</w:t>
      </w:r>
    </w:p>
    <w:p>
      <w:r>
        <w:t>des Bundesgesetzes über die Börsen und den Effektenhandel, tesi, Zurigo 2000, pag. 179 e segg.). Fra la documentazione da trasmettere all'autorità richiedente e l'oggetto del procedimento penale all'estero deve naturalmen- te sussistere una connessione diretta o indiretta (v. DTF 113 Ib 157 consid. 7b; CAROLINE GSTÖHL, op. cit., pag. 194; PAOLO BERNASCONI, Rogatorie penali italo-svizzere. La nuova legislazione svizzera ed il segreto bancario, Milano 1997, pag. 191). Questo è appunto ciò che risulta dal considerando 2 della presente sentenza, per cui la censura va pacificamente respinta.</w:t>
      </w:r>
    </w:p>
    <w:p>
      <w:r>
        <w:rPr>
          <w:b/>
        </w:rPr>
        <w:t>E. 5</w:t>
      </w:r>
    </w:p>
    <w:p>
      <w:r>
        <w:t>In conclusione, il ricorso deve essere respinto nella misura della sua am- missibilità. Le spese seguono la soccombenza (v. art. 63 cpv. 1 della legge federale sulla procedura amministrativa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complessivi fr. 5'000.-- a carico delle ri- correnti in solido; essa è coperta dall'anticipo delle spese già versato.</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