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RR.2010.105 vom 21. September 2010</w:t>
      </w:r>
    </w:p>
    <w:p>
      <w:r>
        <w:t>Bundesstrafgericht, 2010-09-21, IT</w:t>
      </w:r>
    </w:p>
    <w:p>
      <w:r>
        <w:rPr>
          <w:b/>
        </w:rPr>
        <w:t xml:space="preserve">Quelle: </w:t>
      </w:r>
      <w:r>
        <w:t>https://mcp.opencaselaw.ch/entscheid/bstger_RR.2010.105</w:t>
      </w:r>
    </w:p>
    <w:p>
      <w:r>
        <w:t>FR: TPF RR.2010.105 du 21 septembre 2010</w:t>
      </w:r>
    </w:p>
    <w:p>
      <w:r>
        <w:t>IT: TPF RR.2010.105 del 21 settembre 2010</w:t>
      </w:r>
    </w:p>
    <w:p>
      <w:pPr>
        <w:pStyle w:val="Heading2"/>
      </w:pPr>
      <w:r>
        <w:t>Regeste</w:t>
      </w:r>
    </w:p>
    <w:p>
      <w:r>
        <w:t>Assistenza giudiziaria internazionale in materia penale all'Italia/ Esecuzione semplificata (art. 80c AIMP) con contestuale mantenimento di sequestro: contestabilità e proporzionalità della misura coercitiva.</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t>- 4 -</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dell'Accordo italo-svizzero; DTF 135 IV 212 consid. 2.3; 123 II 134 consid. 1a; 122 II 140 consid. 2). Il principio di favore vale anche nell'appli- cazione delle pertinenti norme di diritto internazionale (v. art. 48 CAS). È fatto salvo il rispetto dei diritti fondamentali (DTF 123 II 595 consid. 7c, con rinvii dottrinali).</w:t>
      </w:r>
    </w:p>
    <w:p>
      <w:r>
        <w:rPr>
          <w:b/>
        </w:rPr>
        <w:t>E. 1.3</w:t>
      </w:r>
    </w:p>
    <w:p>
      <w:r>
        <w:t>Esigenze di economia processuale possono imporre all'autorità che tratta più richieste individuali di congiungere le stesse oppure, al contrario, di di- sgiungere una richiesta comune presentata da più persone (consorti) o di disgiungere una richiesta contenente questioni estranee l'una all'altra pre- sentata da un'unica persona; le condizioni d'ammissione della congiunzio- ne o disgiunzione di cause sono fissate dal diritto di procedura (BENOÎT BOVAY, Procédure administrative, Berna 2000, p. 173). Benché non sia prevista dalla PA, applicabile alla presente causa in virtù del rinvio previsto all'art. 30 lett. b LTPF, l'istituto della congiunzione delle cause è nondimeno ammesso nella prassi (cfr. sentenza del Tribunale penale federale RR.2007.187-190 dell'8 aprile 2008, consid. 1). Nella fattispecie, è giustifi- cato congiungere le cause RR.2010.105 e RR.2010.162, visto che entram- be, pur riferendosi a due momenti procedurali diversi, contengono sostan- zialmente le stesse argomentazioni e hanno identica finalità, segnatamente ottenere che il sequestro sia limitato ad un importo di EUR 2'600'000.-.</w:t>
      </w:r>
    </w:p>
    <w:p>
      <w:r>
        <w:t>- 5 -</w:t>
      </w:r>
    </w:p>
    <w:p>
      <w:r>
        <w:rPr>
          <w:b/>
        </w:rPr>
        <w:t>E. 1.4</w:t>
      </w:r>
    </w:p>
    <w:p>
      <w:r>
        <w:t>Il primo ricorso è stato interposto contro il mancato parziale dissequestro della relazione bancaria n. 3 intestata a A. presso la banca P. Il ricorrente fa coincidere tale evento con la data di chiusura della procedura rogatoria- le, ossia il momento in cui egli ha acconsentito alla trasmissione semplifica- ta della documentazione relativa al conto di cui sopra. In realtà, A., prima di contestare il mancato parziale dissequestro del suo conto, avrebbe dovuto censurare la presunta inattività dell'autorità d'esecuzione nel pronunciarsi sul sequestro. Di fatti, come rettamente rileva l'UFG, in questi casi il ricor- rente ha diritto ad una decisione formale sul mantenimento del sequestro (v. TPF 2007 124; sentenze del Tribunale penale federale RR.2007.126 del 26 settembre 2007, consid. 2.4; RR.2008.37-43 del 23 giugno 2008, con- sid. 2.5; RR.2009.159 dell'8 marzo 2010, consid. 2.3-2.4). Per emanare tale decisione l'autorità d'esecuzione può domandare ragguagli supplementari all'autorità estera. Soltanto se entro un ragionevole periodo tali informazioni non arrivano, motivo per cui l'autorità d'esecuzione non è in grado di ema- nare una decisione motivata, la persona toccata è abilitata ad insorgere presso il Tribunale penale federale per diniego di giustizia (v. sentenza del Tribunale penale federale RR.2009.186-189 del 18 maggio 2010, consid. 3). L'erronea indicazione contenuta nella lettera di trasmissione del 28 maggio 2010 all'autorità italiana, secondo cui con la decisione di acconsen- tire alla trasmissione della documentazione in via agevolata sarebbe inizia- to a decorrere il termine di trenta giorni per contestare il sequestro (v. act. 2, pag. 2), nulla toglie a questa conclusione (v. DTF 129 IV 197 consid. 1.5). Il ricorso del 21 giugno 2010 è dunque inammissibile in questa forma. Per quanto attiene invece al gravame del 2 agosto 2010, esso è indirizzato contro la decisione del 21 luglio 2010, mediante la quale il Ministero pubbli- co ticinese ha sì dissequestrato il conto del ricorrente, ma solo limitatamen- te all'importo eccedente la somma di EUR 7'500'000.- e non EUR 2'600'000.- come chiesto da A. La legittimazione ricorsuale di quest'ultimo, titolare del conto oggetto della criticata misura d'assistenza, è pacifica (v. art. 80h lett. b AIMP e art. 9a OAIMP; DTF 118 Ib 547 consid. 1d; TPF 2007 79 consid. 1.6 pag. 82).</w:t>
      </w:r>
    </w:p>
    <w:p>
      <w:r>
        <w:rPr>
          <w:b/>
        </w:rPr>
        <w:t>E. 1.5</w:t>
      </w:r>
    </w:p>
    <w:p>
      <w:r>
        <w:t>La decisione dell’autorità cantonale o federale d’esecuzione relativa alla chiusura della procedura d’assistenza giudiziaria può essere impugnata, congiuntamente alle decisioni incidentali anteriori (art. 80e cpv. 1 AIMP). Le decisioni incidentali anteriori alla decisione di chiusura possono essere im- pugnate separatamente se causano un pregiudizio immediato e irreparabile mediante il sequestro di beni e valori (art. 80e cpv. 2 lett. a AIMP) oppure mediante la presenza di persone che partecipano al processo estero (art. 80e cpv. 2 lett. b AIMP). Nella fattispecie, va innanzitutto chiarito se la decisione di rifiuto di dissequestro del 21 luglio 2010 è una decisione di chiusura oppure incidentale, in modo tale da definire se l'entrata in materia,</w:t>
      </w:r>
    </w:p>
    <w:p>
      <w:r>
        <w:t>- 6 -</w:t>
      </w:r>
    </w:p>
    <w:p>
      <w:r>
        <w:t>come postulato dall'autorità opponente, vada vincolata alla sussistenza di un pregiudizio immediato e irreparabile.</w:t>
      </w:r>
    </w:p>
    <w:p>
      <w:r>
        <w:rPr>
          <w:b/>
        </w:rPr>
        <w:t>E. 1.5.1</w:t>
      </w:r>
    </w:p>
    <w:p>
      <w:r>
        <w:t>La decisione mediante la quale un'autorità d'esecuzione in materia di assi- stenza internazionale ordina un sequestro è una decisione incidentale ai sensi dell'art. 80e cpv. 2 AIMP (sentenza del Tribunale federale 1A.245/2002 del 24 febbraio 2003, consid. 1). In linea di massima questo vale anche allorquando l'autorità d'esecuzione conferma un sequestro o re- spinge una domanda di dissequestro (TPF 2007 124 consid. 2.2). In tutti i casi, la procedura in corso deve concludersi infatti con una decisione di chiusura che determini la destinazione finale dei valori (v. art. 74a cpv. 1 unitamente ad art. 80d AIMP), fermo restando che nell'attesa di tale deci- sione le misure conservative restano in vigore, riservato il caso di espressa comunicazione da parte dell'autorità estera che la confisca non può più es- sere pronunciata (v. art. 33a OAIMP e art. 11 e seg. CRic).</w:t>
      </w:r>
    </w:p>
    <w:p>
      <w:r>
        <w:rPr>
          <w:b/>
        </w:rPr>
        <w:t>E. 1.5.2</w:t>
      </w:r>
    </w:p>
    <w:p>
      <w:r>
        <w:t>L'art. 74a AIMP regola il destino degli oggetti e valori sequestrati a titolo conservativo. Tali valori possono essere consegnati allo Stato richiedente in vista di confisca o di restituzione all'avente diritto, segnatamente quando si tratti del prodotto o del ricavo di un reato, del valore di rimpiazzo o del- l'indebito profitto (cpv. 2 lett. b). La consegna può avvenire in ogni stadio del procedimento estero, di regola su decisione passata in giudicato ed esecutiva dello Stato richiedente (cpv. 3). Tale regolamentazione costitui- sce una particolarità della "piccola assistenza" conformemente alla terza parte dell'AIMP: di regola, è sufficiente che una procedura legata ad una causa penale sia pendente all'estero ai sensi dell'art. 63 cpv. 3 AIMP affin- ché l'assistenza sia concessa; ciò significa che l'assistenza può essere for- nita ad uno stadio molto precoce della procedura. Per contro, la consegna di valori a scopo di confisca o di restituzione è, di regola, unicamente pos- sibile dopo la chiusura della procedura penale o di confisca estera, allor- quando esiste una sentenza esecutiva (DTF 126 II 462 consid. 5c; 123 II 595 consid. 4 e 5; sentenza del Tribunale penale federale RR.2007.207 del</w:t>
      </w:r>
    </w:p>
    <w:p>
      <w:r>
        <w:rPr>
          <w:b/>
        </w:rPr>
        <w:t>E. 1.5.3</w:t>
      </w:r>
    </w:p>
    <w:p>
      <w:r>
        <w:t>In concreto, l'autorità rogante ha sollecitato sia la trasmissione di documen- tazione bancaria concernente il conto litigioso che il sequestro conservativo dei valori ivi depositati. Il ricorrente ha acconsentito alla trasmissione sem- plificata della documentazione bancaria, ma si è opposto al sequestro tota- le dei valori presenti sul conto. Visto quanto espresso ai considerandi pre- cedenti, la decisione del 21 luglio 2010 del Ministero pubblico deve essere considerata proceduralmente una decisione di chiusura, per cui il gravame, tempestivamente interposto entro il termine di trenta giorni previsto per l'impugnazione delle decisioni di chiusura, è ricevibile.</w:t>
      </w:r>
    </w:p>
    <w:p>
      <w:r>
        <w:t>2. Il ricorrente si oppone al mantenimento del sequestro di EUR 8'541'871.87. Egli sostiene che l'autorità rogante mai avrebbe precisato né i motivi del sequestro né l'importo frutto dei reati contestati. Analizzando, sulla base della rogatoria, le uniche due possibilità, a suo dire, ritenute plausibili, os- sia, da una parte, il risarcimento dell'illecito profitto conseguito e, dall'altra, il provento diretto del reato soggetto a confisca, egli giunge alla conclusio- ne che, nella prima ipotesi, l'importo sequestrabile ammonterebbe a EUR 1'572'039.80; nella seconda ipotesi, si raggiungerebbe invece una somma di EUR 2'598'261.90.</w:t>
      </w:r>
    </w:p>
    <w:p>
      <w:r>
        <w:t>- 8 -</w:t>
      </w:r>
    </w:p>
    <w:p>
      <w:r>
        <w:t>2.1 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w:t>
      </w:r>
    </w:p>
    <w:p>
      <w:r>
        <w:t>2.2 Come illustrato in precedenza (v. consid. lett. A), A. è indagato in Italia per truffa ed altri reati patrimoniali legati alla sua funzione di promotore finan- ziario. La rogatoria riporta in maniera dettagliata una moltitudine di opera- zioni finanziarie mobiliari ed immobiliari effettuate dal predetto con valori patrimoniali di pertinenza dei coniugi F. e G., valori che l'autorità rogante ri- tiene siano finiti su conti di pertinenza del ricorrente, in particolare sul con- to, attualmente oggetto di misura coercitiva, n. 3 presso la banca P. Inter- pellata dal Ministero pubblico ticinese, l'autorità rogante, con fax del 21 lu- glio 2010, ha fornito ulteriori precisazioni circa il motivo e l'entità del seque- stro ritenuto necessario, affermando che "la quantificazione della somma profitto della truffa contestata a A. (…) risulta da una meticolosa e puntuale ricostruzione dei fatti svolta dalla Guardia di Finanza di Como (…) e che si fonda da un lato sui dati forniti ovviamente dalle persone offese dall'altro dagli accertamenti bancari (tecnici) della Guardia di Finanza che nel rico- struire i flussi finanziari di A. e di F. e G. pervengono alla quantificazione della somma complessiva pari ad Euro 8'541'871.87 somma che potrebbe formare oggetto di confisca qualora il processo si concludesse con una sentenza di condanna" (v. atto 68 pag. 2 MPTI). Essa aggiunge poi che dalla somma summenzionata "deve essere sottratto l'importo della polizza che è stata nel frattempo liquidata dopo il dissequestro della stessa e tra- sferita sul conto corrente di F. e G. direttamente in Italia pari ad Euro 1'301'331.95 somma dalla quale deve essere espunto l'interesse maturato sulla stessa nel frattempo" (v. ibidem). Confrontata poi con la richiesta di dissequestro perorata dal ricorrente, l'autorità estera dichiara che la rico- struzione difensiva "non risulta supportata da alcun riscontro documentale nuovo e diverso che imponga una valutazione da parte dell'A.G. svizzera diversa da quella che l'aveva determinata a disporre il sequestro su tutta la somma" (v. ibidem). Essa specifica infine che "nella quantificazione del 8 milioni e 541'871.87 di Euro non è di certo ricompresa la somma eventual- mente dovuta a titolo risarcitorio. Si precisa ciò perché il difensore di A. si prodiga a lungo nell'atto di ricorso a spiegare come non sarebbe possibile motivare una conservazione del sequestro sull'intero facendo riferimento ad un eventuale somma a titolo di risarcimento del danno che si profilerebbe a carico di A. in ipotesi di condanna a prescindere dal danno economico delle persone offese immediato e diretto al profitto del reato di truffa" (v. ibidem). Si rileva dunque, come rettamente evidenziato dall'autorità d'esecuzione, che l'importo di EUR 8'541'871.87, composto dai versamenti effettuati dalle parti offese, nell'ipotesi accusatoria costituirebbe nella sua integralità pro-</w:t>
      </w:r>
    </w:p>
    <w:p>
      <w:r>
        <w:t>- 9 -</w:t>
      </w:r>
    </w:p>
    <w:p>
      <w:r>
        <w:t>vento diretto di reato, a prescindere quindi dalla somma eventualmente do- vuta a titolo risarcitorio. Preso atto della liquidazione della polizza assicura- tiva di cui sopra a favore dei coniugi F. e G. a parziale indennizzo del dan- no subito, il Ministero pubblico ticinese ha giustamente dissequestrato par- zialmente il conto oggetto della misura coercitiva rogatoriale, mantenendo il blocco per un importo di EUR 7'500'000.-, misura conforme al principio del- la proporzionalità. Tale importo è poi stato ridotto a EUR 7'240'530.-, visto il desiderio del ricorrente di liquidare l'intero portafoglio titoli, ciò che ha reso superflua la riserva calcolata dall'autorità d'esecuzione per tener conto dei rischi del mercato (v. act. 6.1). Visto quanto precede, è senz'altro possibile affermare che esistono elementi sufficienti per confermare il sequestro con- testato. Toccherà poi all'autorità estera esaminare tutti gli elementi emersi nel corso dell'indagine, compreso il contenuto della documentazione di cui è stata ordinata la trasmissione, e accertare l'eventuale provenienza illecita dei fondi sequestrati, rispettivamente l'entità precisa delle eventuali somme confiscabili o assegnabili a titolo di risarcimento (v. art. 74a cpv. 1 e 2 AIMP e art. 13 e segg. CRic, nonché DTF 123 II 134 consid. 5c, 268 consid. 4, 595 consid. 3). Il sequestro di tali fondi deve essere mantenuto sino alla no- tifica di una decisione definitiva ed esecutiva dello Stato richiedente o fin- tanto che quest'ultimo non abbia comunicato che una tale decisione non può più essere pronunciata (art. 74a cpv. 3 AIMP e 33a OAIMP; TPF 2007 124 consid. 8 e rinvii; v. anche art. 11 e seg. CRic), ferma restando la ne- cessità che la procedura all'estero avanzi (DTF 126 II 462 consid. 5e). Il ri- corrente non ha peraltro sostanziato nessun pregiudizio economico cagio- nato dal sequestro. Per cui, anche da questo punto di vista il blocco in que- stione non presenta alcun elemento di sproporzionalità. Ne consegue che il sequestro va confermato nella sua integralità e la relativa censura respinta.</w:t>
      </w:r>
    </w:p>
    <w:p>
      <w:r>
        <w:t>3. In conclusione, il ricorso del 21 giugno 2010 è inammissibile, mentre quello del 2 agosto 2010 deve essere respinto. Le spese seguono la soccomben- za (v. art. 63 cpv. 1 della legge federale sulla procedura amministrativa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10'000.-; essa è coperta dagli anticipi delle spese già versati.</w:t>
      </w:r>
    </w:p>
    <w:p>
      <w:r>
        <w:t>- 10 -</w:t>
      </w:r>
    </w:p>
    <w:p>
      <w:r>
        <w:t>Per questi motivi, la II Corte dei reclami penali pronuncia:</w:t>
      </w:r>
    </w:p>
    <w:p>
      <w:r>
        <w:rPr>
          <w:b/>
        </w:rPr>
        <w:t>E. 6</w:t>
      </w:r>
    </w:p>
    <w:p>
      <w:r>
        <w:t>novembre 2008, consid. 2.3). Per questa forma di cooperazione, vi è il ri- schio non trascurabile che molti anni trascorrano tra il sequestro dei valori e la consegna, segnatamente a causa di esigenze procedurali nello Stato ri- chiedente (v. sentenza del Tribunale federale 1A.335/2005 del 18 agosto 2006, consid. 1; TPF 2007 124 consid. 2.3.4; sentenza del Tribunale pena- le federale RR.2009.159 dell'8 marzo 2010, consid. 2). Tale sistema può sfociare in situazioni insoddisfacenti. In effetti, il titolare del conto che ac- consente alla consegna semplificata della documentazione bancaria giusta l'art. 80c AIMP non può far verificare da un'autorità giudiziaria il rispetto del- le condizioni di concessione dell'assistenza impugnando la decisione inci- dentale di conferma del sequestro congiuntamente alla decisione di chiusu- ra concernente la trasmissione della documentazione bancaria (v. art. 80e</w:t>
      </w:r>
    </w:p>
    <w:p>
      <w:r>
        <w:t>- 7 -</w:t>
      </w:r>
    </w:p>
    <w:p>
      <w:r>
        <w:t>cvp. 1 AIMP), in quanto una tale decisione per l'appunto manca. Di princi- pio, l'atto mediante il quale l'autorità d'esecuzione constata il consenso alla trasmissione semplificata – nella fattispecie tale consenso figura nel verba- le d'interrogatorio del 27 maggio 2010 – non è, salvo errore ai sensi degli articoli 23 e segg. CO, impugnabile (v. FF 1995 III pag. 30; sentenza del Tribunale federale 1A.64/2005 del 25 maggio 2005, consid. 2.3.1; sentenze del Tribunale penale federale RR.2007.94 dell'8 novembre 2007, consid. 1.3; RR.2007.104 del 12 luglio 2007). Detto ciò, conformemente alla giuri- sprudenza di questa Corte, risulta evidente che colui che, dimostrando un'attitudine cooperativa ed in sintonia col principio di celerità (art. 17a AIMP), acconsente alla trasmissione semplificata non deve essere svan- taggiato rispetto a colui che non segue tale via (v. sentenze del Tribunale penale federale RR.2009.159 dell'8 marzo 2010, consid. 2; RR.2009.351/354-355 del 15 aprile 2010, consid. 1.4). Al fine di evitare si- tuazioni in contrasto con lo spirito della legge, segnatamente con lo spirito dell'art. 80c AIMP, è d'uopo considerare, a livello procedurale, la decisione impugnata come una decisione di chiusura, ciò che ha come prima conse- guenza che l'ammissibilità del ricorso non è subordinata all'esistenza di un pregiudizio immediato ed irreparabile ai sensi dell'art. 80e cpv. 2 AIMP e, come seconda conseguenza, che il termine per interporre ricorso non è quello più breve previsto per le decisioni incidentali (art. 80k AIMP).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