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RR.2009.97 vom 14. Juli 2010</w:t>
      </w:r>
    </w:p>
    <w:p>
      <w:r>
        <w:t>Bundesstrafgericht, 2010-07-14, FR</w:t>
      </w:r>
    </w:p>
    <w:p>
      <w:r>
        <w:rPr>
          <w:b/>
        </w:rPr>
        <w:t xml:space="preserve">Quelle: </w:t>
      </w:r>
      <w:r>
        <w:t>https://mcp.opencaselaw.ch/entscheid/bstger_RR.2009.97</w:t>
      </w:r>
    </w:p>
    <w:p>
      <w:r>
        <w:t>FR: TPF RR.2009.97 du 14 juillet 2010</w:t>
      </w:r>
    </w:p>
    <w:p>
      <w:r>
        <w:t>IT: TPF RR.2009.97 del 14 luglio 2010</w:t>
      </w:r>
    </w:p>
    <w:p>
      <w:pPr>
        <w:pStyle w:val="Heading2"/>
      </w:pPr>
      <w:r>
        <w:t>Regeste</w:t>
      </w:r>
    </w:p>
    <w:p>
      <w:r>
        <w:t>Entraide internationale en matière pénale à la Belgique. Remise de moyens de preuves (art. 74 EIMP). Insuffisance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RR.2009.107 du 27 août 2009, consid. 1.3 et la jurisprudence citée).</w:t>
      </w:r>
    </w:p>
    <w:p>
      <w:r>
        <w:rPr>
          <w:b/>
        </w:rPr>
        <w:t>E. 2</w:t>
      </w:r>
    </w:p>
    <w:p>
      <w:r>
        <w:t>Déposé dans le délai de 30 jours après la notification de l’ordonnance que- rellée, le recours de la société A. est interjeté en temps utile contre une dé- cision de l’autorité cantonale d’exécution relative à la clôture partielle de la procédure d’entraide judiciaire (art. 80e et 80k EIMP). La qualité pour s’opposer à la transmission de documents appartient au titulaire du compte bancaire dont les pièces sont saisies (art. 80h let. b EIMP et 9a let. a OEIMP; arrêt du Tribunal pénal fédéral RR.2008.270 du 5 décembre 2008, consid. 1.3). La société A. (ci-après: la recourante) a ainsi qualité pour re- courir et son recours est recevable.</w:t>
      </w:r>
    </w:p>
    <w:p>
      <w:r>
        <w:rPr>
          <w:b/>
        </w:rPr>
        <w:t>E. 3</w:t>
      </w:r>
    </w:p>
    <w:p>
      <w:r>
        <w:t>La recourante se plaint d’une violation de l’art. 28 al. 3 let. a EIMP en ce sens que la requête d’entraide belge serait insuffisamment étayée et ne lui permettrait pas de déterminer la nature juridique de l’infraction alléguée. Les faits relatés dans les requêtes complémentaires belges seraient de même sans rapport avec le complexe de faits examiné par le Tribunal fédé-</w:t>
      </w:r>
    </w:p>
    <w:p>
      <w:r>
        <w:t>- 5 -</w:t>
      </w:r>
    </w:p>
    <w:p>
      <w:r>
        <w:t>ral dans les arrêts 1A.54-57/2007 du 24 septembre 2007. Elle conteste en outre que les faits décrits sont constitutifs d’une infraction au regard du principe de double incrimination (art. 64 EIMP), mais indique que la de- mande poursuivrait un but purement fiscal et violerait ainsi l’art. 3 al. 3 EIMP. Il n’y aurait aucune escroquerie fiscale et le caractère illicite du commerce de diamants dans lequel la recourante serait impliquée ne serait nullement démontré.</w:t>
      </w:r>
    </w:p>
    <w:p>
      <w:r>
        <w:rPr>
          <w:b/>
        </w:rPr>
        <w:t>E. 3.1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 tée), soit que l’acte pour lequel l’entraide est demandée est punissable se- 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(arrêt du Tribunal pénal fédéral RR.2010.11 du 22 mars 2010, consid. 2.3 et la jurisprudence citée).</w:t>
      </w:r>
    </w:p>
    <w:p>
      <w:r>
        <w:rPr>
          <w:b/>
        </w:rPr>
        <w:t>E. 3.2</w:t>
      </w:r>
    </w:p>
    <w:p>
      <w:r>
        <w:t>Il ressort des requêtes d’entraide présentées par les autorités de l’Etat re- quérant que celles-ci conduisent, depuis plusieurs années, une vaste en- quête tendant à déterminer les modalités et les auteurs d’importations illici- tes de diamants bruts en Belgique, notamment par l’utilisation de sociétés de transport et de bureaux d’expédition suisses et étrangers. Les commis- sions rogatoires déjà exécutées ont révélé que lesdites importations de dia- mants en Belgique ont été effectuées par la mise sur le marché belge des diamants qui n’étaient supposés qu’y transiter (cf. arrêts du Tribunal fédéral et du Tribunal pénal fédéral cités sous let. A). La demande d’entraide à</w:t>
      </w:r>
    </w:p>
    <w:p>
      <w:r>
        <w:t>- 6 -</w:t>
      </w:r>
    </w:p>
    <w:p>
      <w:r>
        <w:t>l’origine de la décision querellée sert en revanche d’appui à l’instruction d’un autre genre d’affaire. En substance, il ressort de l’exposé des faits (cf. notamment requête du 26 octobre 2007 mais également celle postérieure du 31 mars 2008), qu’entre 2001 et 2006, des diamantaires israéliens auraient envoyé à des sociétés offshore des lots de diamants bruts accompagnés de certificats Kimberley à l’adresse postale de la société G. aux Ports-Francs de Ge- nève. Sans qu’aucune opération ne fût exécutée sur lesdits lots, ils étaient rapidement réexpédiés à destination d’Anvers avec une augmentation de valeur que rien ne justifierait. Le magistrat requérant indique que cette augmentation aurait été de 350% en l’espèce. On comprend de la commis- sion rogatoire du 26 octobre 2007 que, sur la base de procurations et factu- res établies par B. au nom des mêmes sociétés offshore, les formalités administratives liées à l’exportation, notamment les certificats Kimberley, étaient réalisées à Genève.</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3.3</w:t>
      </w:r>
    </w:p>
    <w:p>
      <w:r>
        <w:t>Telle que formulée, la demande d’entraide à l’origine de la décision querel- lée ne satisfait pas aux exigences posées par l’EIMP et la jurisprudence. a) En premier lieu, la demande n’indique pas l’infraction de droit belge qui se- 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 re- quérante à fournir le texte des dispositions légales applicables, il eût certai- nement été de secours au juge de l’entraide de pouvoir les connaître, no- tamment afin de déterminer la réalisation de la condition de la double pu- nissabilité. Il s’ensuit que, lors de l’examen de la correspondance des délits belges et suisses, la Cour ne peut se fonder que sur une disposition de droit suisse dont l’équivalence à une disposition belge ne peut être exami- née. Il y a ici une lacune importante dans la demande d’entraide.</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w:t>
      </w:r>
    </w:p>
    <w:p>
      <w:r>
        <w:t>- 7 -</w:t>
      </w:r>
    </w:p>
    <w:p>
      <w:r>
        <w:t>20 février 2009, consid. 4.2 et la jurisprudence citée). Ainsi, avant même d’examiner l’élément de la «tromperie astucieuse», supposément réalisée dans le fait de l’augmentation de valeur aux Ports-Francs de Genève, il y aurait lieu d’indiquer quel est le montant important représentant une contri- bution. Or la demande n’en fait nullement état. Plus que cela, rien ne per- met de déterminer quelle contribution serait éludée. En effet, d’une part, l’importation de diamants en Belgique n’est pas soumise à la TVA (art. 42 §</w:t>
      </w:r>
    </w:p>
    <w:p>
      <w:r>
        <w:rPr>
          <w:b/>
        </w:rPr>
        <w:t>E. 3.4</w:t>
      </w:r>
    </w:p>
    <w:p>
      <w:r>
        <w:t>Dès lors que la Cour n’est pas en mesure de procéder à l’examen de la double incrimination, condition sine qua non d’octroi de l’entraide, la de- mande doit être tenue pour insuffisamment étayée et non conforme aux art. 14 CEEJ et 28 EIMP. Pour cette raison, le recours de la société A. doit être admis, l’ordonnance de clôture du 13 février 2009 annulée et l’entraide re- fusée. Les pièces mentionnées par les ordonnances querellées ne pourront être transmises à la Belgique.</w:t>
      </w:r>
    </w:p>
    <w:p>
      <w:r>
        <w:rPr>
          <w:b/>
        </w:rPr>
        <w:t>E. 3.5</w:t>
      </w:r>
    </w:p>
    <w:p>
      <w:r>
        <w:t>Cela ne préjuge aucunement de la faculté de l’autorité requérante de pré- senter une demande d’entraide complémentaire satisfaisante au regard des considérants qui précèdent. A cet égard, l’OFJ est invité à informer l’autorité requérante de l’issue de la procédure et de la possibilité de pré-</w:t>
      </w:r>
    </w:p>
    <w:p>
      <w:r>
        <w:t>- 8 -</w:t>
      </w:r>
    </w:p>
    <w:p>
      <w:r>
        <w:t>senter une demande complémentaire avec un exposé des faits exhaustifs, notamment quant au modus operandi de l’augmentation de la valeur de la marchandise et les normes pénales qu’une telle augmentation aurait vio- lées, ainsi que toutes informations supplémentaires susceptibles de mieux illustrer les faits sous enquête en Belgique.</w:t>
      </w:r>
    </w:p>
    <w:p>
      <w:r>
        <w:rPr>
          <w:b/>
        </w:rPr>
        <w:t>E. 4</w:t>
      </w:r>
    </w:p>
    <w:p>
      <w:r>
        <w:t>Compte tenu de l’issue du recours, nul n’est besoin d’examiner les autres moyens de la recourante ayant trait à l’accès au dossier, à la proportionna- lité de la mesure et au respect du principe de spécialité. Concernant la pré- sence des fonctionnaires étrangers lors de la procédure de tri, leur enga- gement à ne pas faire usage des documents qu’ils ont consultés, en cas de refus de l’entraide (cf. classeur A du dossier du Juge d’instruction), rend ir- recevable ce moyen de recours (voir arrêt du Tribunal pénal fédéral RR.2010.24 du 24 février 2010 et la jurisprudence citée).</w:t>
      </w:r>
    </w:p>
    <w:p>
      <w:r>
        <w:rPr>
          <w:b/>
        </w:rPr>
        <w:t>E. 5</w:t>
      </w:r>
    </w:p>
    <w:p>
      <w:r>
        <w:t>Une indemnité de dépens de CHF 2’000.-- (TVA incluse) est allouée à la so- ciété A. à charge du Juge d’instruction du canton de Genève.</w:t>
      </w:r>
    </w:p>
    <w:p>
      <w:r>
        <w:t>Bellinzone, le 15 juillet 2010</w:t>
      </w:r>
    </w:p>
    <w:p>
      <w:r>
        <w:t>Au nom de la IIe Cour des plaintes du Tribunal pénal fédéral</w:t>
      </w:r>
    </w:p>
    <w:p>
      <w:r>
        <w:t>La présidente: Le greffier:</w:t>
      </w:r>
    </w:p>
    <w:p>
      <w:r>
        <w:t>Distribution</w:t>
      </w:r>
    </w:p>
    <w:p>
      <w:r>
        <w:t>- Me François Roger Micheli,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