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RR.2009.95 vom 20. April 2009</w:t>
      </w:r>
    </w:p>
    <w:p>
      <w:r>
        <w:t>Bundesstrafgericht, 2009-04-20, FR</w:t>
      </w:r>
    </w:p>
    <w:p>
      <w:r>
        <w:rPr>
          <w:b/>
        </w:rPr>
        <w:t xml:space="preserve">Quelle: </w:t>
      </w:r>
      <w:r>
        <w:t>https://mcp.opencaselaw.ch/entscheid/bstger_RR.2009.95</w:t>
      </w:r>
    </w:p>
    <w:p>
      <w:r>
        <w:t>FR: TPF RR.2009.95 du 20 avril 2009</w:t>
      </w:r>
    </w:p>
    <w:p>
      <w:r>
        <w:t>IT: TPF RR.2009.95 del 20 aprile 2009</w:t>
      </w:r>
    </w:p>
    <w:p>
      <w:pPr>
        <w:pStyle w:val="Heading2"/>
      </w:pPr>
      <w:r>
        <w:t>Regeste</w:t>
      </w:r>
    </w:p>
    <w:p>
      <w:r>
        <w:t>Extradition à l'Espagne Décision d'extradition (art. 55 EIMP)</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80k EIMP).</w:t>
      </w:r>
    </w:p>
    <w:p>
      <w:r>
        <w:rPr>
          <w:b/>
        </w:rPr>
        <w:t>E. 1.2</w:t>
      </w:r>
    </w:p>
    <w:p>
      <w:r>
        <w:t>La Convention européenne d’extradition du 13 décembre 1957 (CEExtr; RS 0.353.1) et les deux Protocoles additionnels à cette Convention (RS.0.353.11 et RS.0.353.12) s'appliquent prioritairement aux procédures d'extradition entre la Suisse et l’Espagne.</w:t>
      </w:r>
    </w:p>
    <w:p>
      <w:r>
        <w:t>- 4 -</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d’extradition à l’Espagne, sont également pertinents les art. 59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t>Dans la mesure où l’entrée en vigueur des dispositions pertinentes de la CAAS ne comporte guère, en l’espèce, de changement substantiel des conditions d’octroi de l’extradition à l’Etat requérant par rapport au droit conventionnel (cf. consid. 1.2), un échange d’écritures supplémentaire affé- rent au droit applicable n’a pas été nécessaire.</w:t>
      </w:r>
    </w:p>
    <w:p>
      <w:r>
        <w:rPr>
          <w:b/>
        </w:rPr>
        <w:t>E. 1.4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demeure réservé (ATF 123 II 595 consid. 7c p. 617).</w:t>
      </w:r>
    </w:p>
    <w:p>
      <w:r>
        <w:rPr>
          <w:b/>
        </w:rPr>
        <w:t>E. 2</w:t>
      </w:r>
    </w:p>
    <w:p>
      <w:r>
        <w:t>Le recourant conclut à sa mise en liberté immédiate. Il reproche en premier lieu à l’OFJ d’avoir violé l’art. 50 al. 1 EIMP en accordant à l’Etat requérant une prolongation du délai pour fournir la demande d’extradition et ses an- nexes. Subsidiairement, il estime qu’il aurait dû être remis en liberté le</w:t>
      </w:r>
    </w:p>
    <w:p>
      <w:r>
        <w:t>- 5 -</w:t>
      </w:r>
    </w:p>
    <w:p>
      <w:r>
        <w:t>9 janvier 2009, faute pour l’Etat requérant d’avoir transmis la traduction de la demande d’extradition dans le délai échéant le 8 janvier 2009 (v. supra let. B et C).</w:t>
      </w:r>
    </w:p>
    <w:p>
      <w:r>
        <w:rPr>
          <w:b/>
        </w:rPr>
        <w:t>E. 2.1</w:t>
      </w:r>
    </w:p>
    <w:p>
      <w:r>
        <w:t>Aux termes de l’art. 16 ch. 4 CEExtr, «l’arrestation provisoire pourra pren- dre fin si, dans le délai de 18 jours après l’arrestation, la Partie requise n’a pas été saisie de la demande d’extradition et des pièces mentionnées à l’art. 12; elle ne devra, en aucun cas, excéder 40 jours après l’arrestation». Contrairement à l’art. 50 al. 1 EIMP, l’art. 16 ch. 4 CEExtr n’exige pas de «raisons particulières» pour prolonger le délai dans lequel la demande d’extradition et ses annexes doivent parvenir aux autorités de l’Etat requis. Dans la mesure où le droit conventionnel prime sur les dispositions de l’EIMP, sauf dans le cas où ces dernières seraient plus favorables à l’octroi de l’extradition (v. supra consid. 1.4), c’est à bon droit que l’OFJ a fait suite à la demande espagnole de prolongation de délai du 4 décembre 2008, sans interpeller l’Etat requérant sur ses motifs.</w:t>
      </w:r>
    </w:p>
    <w:p>
      <w:r>
        <w:rPr>
          <w:b/>
        </w:rPr>
        <w:t>E. 2.2</w:t>
      </w:r>
    </w:p>
    <w:p>
      <w:r>
        <w:t>Selon l’art. 12 ch. 2 CEExtr, la demande d’extradition doit être accompa- gnée de l’original ou de l’expédition authentique soit d’une décision de condamnation exécutoire, soit d’un mandat d’arrêt ou de tout autre acte ayant la même force, délivré dans les formes prescrites par la loi de la Par- tie requérante (let. a); d’un exposé des faits pour lesquels l’extradition est demandée (le temps et le lieu de leur survenance, leur qualification légale et les références aux dispositions légales applicables devant être indiqués le plus exactement possible; let. b) et d’une copie des dispositions légales applicables ou, si cela n’est pas possible, d’une déclaration sur le droit ap- plicable, ainsi que du signalement aussi précis que possible de l’individu réclamé et de tous autres renseignements de nature à déterminer son iden- tité et sa nationalité (let. c). La CEExtr ne prévoit pas l’exigence d’une tra- duction. Les pièces à produire doivent être rédigées soit dans la langue de la Partie requérante, soit dans celle de la Partie requise; cette dernière pourra réclamer une traduction dans une langue officielle du Conseil de l’Europe de son choix (art. 23 CEExtr). La Suisse a formulé une réserve à cette disposition, aux termes de laquelle les requêtes en matière d’extradition adressées à ses autorités de même que leurs annexes doivent être munies d’une traduction en langue allemande, française ou italienne, si elles ne sont pas rédigées dans l’une de ces langues.</w:t>
      </w:r>
    </w:p>
    <w:p>
      <w:r>
        <w:t>Selon la jurisprudence du Tribunal fédéral, des compléments et des répon- ses peuvent également être transmises à l’Etat requis, après l’échéance du délai prévu par le traité ou par la loi pour produire la demande formelle d’extradition; des insuffisances purement formelles affectant la demande</w:t>
      </w:r>
    </w:p>
    <w:p>
      <w:r>
        <w:t>- 6 -</w:t>
      </w:r>
    </w:p>
    <w:p>
      <w:r>
        <w:t>d’extradition ne sauraient faire échec à la coopération judiciaire entre Etats (arrêt du Tribunal fédéral 1A.111/2003 du 1er juillet 2003, consid. 2.2 et les références citées).</w:t>
      </w:r>
    </w:p>
    <w:p>
      <w:r>
        <w:t>En l’espèce, dès lors que la demande formelle d’extradition et ses annexes en espagnol sont parvenues à l’Etat requérant dans le délai de 40 jours prévu à l’art. 16 ch. 4 CEExtr, l’OFJ était tenu, sous peine de tomber dans le formalisme excessif, d’accorder à l’Etat requérant un délai raisonnable supplémentaire, au-delà de ce délai de 40 jours, pour lui transmettre la tra- duction française de ces pièces, à titre de complément de sa demande formelle d’extradition. La durée du délai supplémentaire accordé en l’occurrence – 7 jours – ménage tant les droits du recourant que les exi- gences de la bonne foi dans les relations entre Etats. Dès lors que l’Etat requérant a fourni les traductions demandées dans ce délai – plus préci- sément 2 jours avant son échéance –, c’est à bon droit que l’OFJ n’a pas ordonné d’office la mise en liberté du recourant.</w:t>
      </w:r>
    </w:p>
    <w:p>
      <w:r>
        <w:rPr>
          <w:b/>
        </w:rPr>
        <w:t>E. 3</w:t>
      </w:r>
    </w:p>
    <w:p>
      <w:r>
        <w:t>Subsidiairement, le recourant se plaint de ce que la décision sur appel du 22 juillet 2005 (v. supra let. A) n’a pas été annexée à la demande d’extradition. A son avis, cette omission justifierait le rejet de la demande d’extradition.</w:t>
      </w:r>
    </w:p>
    <w:p>
      <w:r>
        <w:rPr>
          <w:b/>
        </w:rPr>
        <w:t>E. 3.1</w:t>
      </w:r>
    </w:p>
    <w:p>
      <w:r>
        <w:t>Selon la jurisprudence, il n’y a pas lieu d’être trop exigeant quant aux conditions formelles de la demande, les indications fournies à l’appui de celle-ci devant simplement suffire pour vérifier que la demande n’est pas d’emblée inadmissible (arrêt du Tribunal fédéral 1A.30/2001 du 2 avril 2001, consid. 3a; MOREILLON [Ed.], Entraide internationale en matière pé- nale, Commentaire romand, Bâle, Genève, Munich 2004, n° 3 ad art. 41 EIMP). Les exigences de l’art. 12 ch. 2 CEExtr, qui sont reprises aux art. 28 al. 3 et 41 EIMP, sont en effet destinées à permettre à l'Etat requis d'exa- miner si les conditions de fond posées par la CEExtr sont réalisées (double incrimination [art. 2], nature du délit [art. 3-5], impossibilité d'extrader les nationaux [art. 6], lieu de perpétration [art. 7], respect des principes ne bis in idem [art. 8 et 9] et de la spécialité [art. 14], etc.; arrêt du Tribunal fédéral 1A.254/2006 du 4 avril 2006, consid. 3.1).</w:t>
      </w:r>
    </w:p>
    <w:p>
      <w:r>
        <w:rPr>
          <w:b/>
        </w:rPr>
        <w:t>E. 3.2</w:t>
      </w:r>
    </w:p>
    <w:p>
      <w:r>
        <w:t>En l’espèce, la demande d’extradition espagnole était notamment accom- pagnée d’une expédition authentique de la décision de condamnation ren- due à l’encontre du recourant le 23 mai 2005 par le Tribunal correctionnel de Bilbao. Ce Tribunal fournissait également une attestation selon laquelle ledit jugement était exécutoire, puisqu’il avait été confirmé le 22 juillet 2008</w:t>
      </w:r>
    </w:p>
    <w:p>
      <w:r>
        <w:t>- 7 -</w:t>
      </w:r>
    </w:p>
    <w:p>
      <w:r>
        <w:t>par le Tribunal de l’Audience provinciale de Biscaye, dont la décision n’a pas été querellée. Ces documents sont notamment propres à établir les faits reprochés au recourant et l’existence d’un jugement de condamnation exécutoire à son encontre. Contrairement à l’avis du recourant, ils remplis- sent dès lors en tous points les exigences de l’art. 12 CEExtr.</w:t>
      </w:r>
    </w:p>
    <w:p>
      <w:r>
        <w:rPr>
          <w:b/>
        </w:rPr>
        <w:t>E. 4</w:t>
      </w:r>
    </w:p>
    <w:p>
      <w:r>
        <w:t>Selon le recourant, le Tribunal correctionnel de Bilbao aurait rendu le 12 août 2005 une décision d’exécution de peine l’invitant à se présenter au Centre pénitentiaire, dans le mois suivant la réception de cette décision. Il affirme que cette décision ne lui aurait jamais été notifiée et se plaint éga- lement du fait qu’elle n’était pas annexée à la demande d’extradition.</w:t>
      </w:r>
    </w:p>
    <w:p>
      <w:r>
        <w:t>Conformément à ce qui a été dit plus haut, la décision relative à l’exécution de la peine n’a pas à être fournie à l’appui de la demande d’extradition, aux termes de l’art. 12 ch. 2 CEExtr (v. supra consid. 2.2 et 3.1). Entendu le 1er décembre 2008 par le juge d’instruction, le recourant a expliqué qu’il avait subi en Espagne 6 mois de détention préventive, avant d’être remis en liberté provisoire, moyennant le paiement d’une caution de € 30'000 (act. 9.4). Il a également déclaré avoir personnellement assisté au procès tenu par-devant le Tribunal de l’Audience provinciale de Biscaye (v. supra let, A), et qu’au terme de celui-ci, il lui avait été indiqué qu’il serait rappelé par la Justice espagnole (act. 9.4). Le recourant pouvait donc comprendre qu’une décision d’exécution de peine serait prononcée à son encontre. Il avait par ailleurs à tout le moins l’obligation de se tenir à disposition des au- torités espagnoles et de les informer de son lieu de résidence. A teneur de la décision d’exécution de peine du 12 août 2005 annexée au recours, cette décision a été notifiée au recourant (act. 1.4). Celui-ci admet toutefois s’être réfugié en France, puis en Suisse, après que les autorités espagno- les ont accordé sa mise en liberté sous caution. L’échec de notification qu’il fait valoir lui est par conséquent imputable, de sorte qu’il n’est pas légitimé à s’en plaindre, sous l’angle du principe de la bonne foi. Au surplus, la dé- cision du 12 août 2005 est une simple mesure d’exécution de la peine pro- noncée le 23 mai 2005. En tout état de cause, le défaut de notification d’une telle décision ne saurait faire obstacle à l’extradition dont toutes les conditions sont remplies.</w:t>
      </w:r>
    </w:p>
    <w:p>
      <w:r>
        <w:rPr>
          <w:b/>
        </w:rPr>
        <w:t>E. 5</w:t>
      </w:r>
    </w:p>
    <w:p>
      <w:r>
        <w:t>Vu ce qui précède, le recours doit être rejeté.</w:t>
      </w:r>
    </w:p>
    <w:p>
      <w:r>
        <w:t>- 8 -</w:t>
      </w:r>
    </w:p>
    <w:p>
      <w:r>
        <w:rPr>
          <w:b/>
        </w:rPr>
        <w:t>E. 6</w:t>
      </w:r>
    </w:p>
    <w:p>
      <w:r>
        <w:t>Les frais de procédure sont mis à la charge du recourant qui succombe (art. 63 al. 1 PA, applicable par renvoi de l’art. 30 let. b LTPF). Calculé conformément à l’art. 3 du Règlement du 11 février 2004 fixant les émolu- ments judiciaires perçus par le Tribunal pénal fédéral (RS 173.711.32; TPF RR.2007.26 du 9 juillet 2007, consid. 9.1), cet émolument est arrêté à Fr. 3'000.--, couvert par l’avance de frais déjà versée.</w:t>
      </w:r>
    </w:p>
    <w:p>
      <w:r>
        <w:t>- 9 -</w:t>
      </w:r>
    </w:p>
    <w:p>
      <w:r>
        <w:t>Par ces motifs, la IIe Cour des plaintes prononce:</w:t>
      </w:r>
    </w:p>
    <w:p>
      <w:r>
        <w:t>1. Le recours est rejeté.</w:t>
      </w:r>
    </w:p>
    <w:p>
      <w:r>
        <w:t>2. Un émolument de Fr. 3'000.--, couvert par l’avance de frais déjà versée, est mis à la charge du recourant.</w:t>
      </w:r>
    </w:p>
    <w:p>
      <w:r>
        <w:t>Bellinzone, le 21 avril 2009</w:t>
      </w:r>
    </w:p>
    <w:p>
      <w:r>
        <w:t>Au nom de la IIe Cour des plaintes du Tribunal pénal fédéral</w:t>
      </w:r>
    </w:p>
    <w:p>
      <w:r>
        <w:t>La présidente: Le greffier:</w:t>
      </w:r>
    </w:p>
    <w:p>
      <w:r>
        <w:t>Distribution</w:t>
      </w:r>
    </w:p>
    <w:p>
      <w:r>
        <w:t>- Me François Canonica,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