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RR.2009.8 vom 26. März 2009</w:t>
      </w:r>
    </w:p>
    <w:p>
      <w:r>
        <w:t>Bundesstrafgericht, 2009-03-26, DE</w:t>
      </w:r>
    </w:p>
    <w:p>
      <w:r>
        <w:rPr>
          <w:b/>
        </w:rPr>
        <w:t xml:space="preserve">Quelle: </w:t>
      </w:r>
      <w:r>
        <w:t>https://mcp.opencaselaw.ch/entscheid/bstger_RR.2009.8</w:t>
      </w:r>
    </w:p>
    <w:p>
      <w:r>
        <w:t>FR: TPF RR.2009.8 du 26 mars 2009</w:t>
      </w:r>
    </w:p>
    <w:p>
      <w:r>
        <w:t>IT: TPF RR.2009.8 del 26 marzo 2009</w:t>
      </w:r>
    </w:p>
    <w:p>
      <w:pPr>
        <w:pStyle w:val="Heading2"/>
      </w:pPr>
      <w:r>
        <w:t>Regeste</w:t>
      </w:r>
    </w:p>
    <w:p>
      <w:r>
        <w:t>Internationale Rechtshilfe in Strafsachen an Israel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Dezember 2008 mit Beschwerde vom 23. Januar 2009 an die II. Beschwerdekammer des Bundesstrafgerichts gelangt sind (act. 1);</w:t>
      </w:r>
    </w:p>
    <w:p>
      <w:r>
        <w:t>- A., B. und C. am 27. Januar 2009 zur Leistung eines Kostenvorschusses von Fr. 6'000.00 aufgefordert worden sind, welchen sie am 4. Februar 2009 einbezahlt haben (act. 3, 4);</w:t>
      </w:r>
    </w:p>
    <w:p>
      <w:r>
        <w:t>- die Staatsanwaltschaft sowie das Bundesamt für Justiz am 5. Februar 2009 zur Einreichung einer Beschwerdeantwort eingeladen wurden und beide Vernehmlassungen am 12. Februar 2009 mit den Anträgen, die Beschwer- de sei abzuweisen soweit darauf einzutreten sei, eingingen (act. 5, 7, 8);</w:t>
      </w:r>
    </w:p>
    <w:p>
      <w:r>
        <w:t>- das Bundesstrafgericht A., B. und C. am 18. Februar 2009 zur Replik ein- geladen hat, diese innert erstreckter Frist am 12. März 2009 den Rückzug ihrer Beschwerde bekannt gegeben haben (act. 9, 10, 11);</w:t>
      </w:r>
    </w:p>
    <w:p>
      <w:r>
        <w:t>- das Beschwerdeverfahren daher zufolge Rückzugs der Beschwerde als er- ledigt abzuschreiben ist;</w:t>
      </w:r>
    </w:p>
    <w:p>
      <w:r>
        <w:t>- der Beschwerdeführer, der seine Beschwerde zurückzieht, grundsätzlich als unterliegende Partei zu gelten und folglich gemäss Art. 63 Abs. 1 VwVG i.V.m. Art. 30 lit. b SGG die Gerichtskosten zu tragen hat (TPF RR.2007.4 vom 6. März 2007; RR.2007.70 vom 30. Mai 2007; RR.2008.267 vom 4. November 2008), die Gerichtsgebühr vorliegend auf Fr. 900.00 anzuset- zen ist (vgl. Art. 3 des Reglements vom 11. Februar 2004 über die Ge- richtsgebühren vor dem Bundesstrafgericht, SR 173.711.32) unter Anrech-</w:t>
      </w:r>
    </w:p>
    <w:p>
      <w:r>
        <w:t>- 3 -</w:t>
      </w:r>
    </w:p>
    <w:p>
      <w:r>
        <w:t>nung des geleisteten Kostenvorschusses in der Höhe von Fr. 6'000.00 und die Bundesstrafgerichtskasse angewiesen wird, den Beschwerdeführern den Restbetrag von Fr. 5’100.00 zurückzuerstatten.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