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RR.2009.69 vom 26. Mai 2009</w:t>
      </w:r>
    </w:p>
    <w:p>
      <w:r>
        <w:t>Bundesstrafgericht, 2009-05-26, DE</w:t>
      </w:r>
    </w:p>
    <w:p>
      <w:r>
        <w:rPr>
          <w:b/>
        </w:rPr>
        <w:t xml:space="preserve">Quelle: </w:t>
      </w:r>
      <w:r>
        <w:t>https://mcp.opencaselaw.ch/entscheid/bstger_RR.2009.69</w:t>
      </w:r>
    </w:p>
    <w:p>
      <w:r>
        <w:t>FR: TPF RR.2009.69 du 26 mai 2009</w:t>
      </w:r>
    </w:p>
    <w:p>
      <w:r>
        <w:t>IT: TPF RR.2009.69 del 26 maggio 2009</w:t>
      </w:r>
    </w:p>
    <w:p>
      <w:pPr>
        <w:pStyle w:val="Heading2"/>
      </w:pPr>
      <w:r>
        <w:t>Regeste</w:t>
      </w:r>
    </w:p>
    <w:p>
      <w:r>
        <w:t>Internationale Rechtshilfe in Strafsachen an Österreich Herausgabe von Beweismitteln (Art. 74 IRSG)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Februar 2007, E. 5); die Gerichtsgebühr auf Fr. 1'000.-- angesetzt wird, unter Anrechnung des geleisteten Kostenvorschusses von Fr. 4'000.--; die Bundesstrafgerichtskasse angewiesen wird, dem Beschwerdeführer den Restbetrag von Fr. 3'000.-- zurückzuerstatten.</w:t>
      </w:r>
    </w:p>
    <w:p>
      <w:r>
        <w:t>- 5 -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