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RR.2009.60 vom 27. August 2009</w:t>
      </w:r>
    </w:p>
    <w:p>
      <w:r>
        <w:t>Bundesstrafgericht, 2009-08-27, FR</w:t>
      </w:r>
    </w:p>
    <w:p>
      <w:r>
        <w:rPr>
          <w:b/>
        </w:rPr>
        <w:t xml:space="preserve">Quelle: </w:t>
      </w:r>
      <w:r>
        <w:t>https://mcp.opencaselaw.ch/entscheid/bstger_RR.2009.60</w:t>
      </w:r>
    </w:p>
    <w:p>
      <w:r>
        <w:t>FR: TPF RR.2009.60 du 27 août 2009</w:t>
      </w:r>
    </w:p>
    <w:p>
      <w:r>
        <w:t>IT: TPF RR.2009.60 del 27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t>- 5 -</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w:t>
      </w:r>
    </w:p>
    <w:p>
      <w:r>
        <w:t>- 6 -</w:t>
      </w:r>
    </w:p>
    <w:p>
      <w:r>
        <w:t>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w:t>
      </w:r>
    </w:p>
    <w:p>
      <w:r>
        <w:t>Dans un premier moyen, les recourants reprochent au Juge d’instruction de leur avoir refusé l’accès au dossier de la procédure d’entraide, en particu-</w:t>
      </w:r>
    </w:p>
    <w:p>
      <w:r>
        <w:t>- 7 -</w:t>
      </w:r>
    </w:p>
    <w:p>
      <w:r>
        <w:t>lier de ne pas leur avoir remis la commission rogatoire, ni les pièces ban- caires. Les recourants considèrent que l’existence d’un conflit d’intérêts a été admise à tort. C’est par conséquent également à tort qu’ils n’ont pas été invités à se prononcer sur les pièces que le Juge d’instruction envisa- geait de transmettre. Les recourants se prévalent aussi de l’art. 12 let. c de la loi fédérale du 23 juin 2000 sur la libre circulation des avocats (LLCA; RS 935.61).</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w:t>
      </w:r>
    </w:p>
    <w:p>
      <w:r>
        <w:rPr>
          <w:b/>
        </w:rPr>
        <w:t>E. 3.2</w:t>
      </w:r>
    </w:p>
    <w:p>
      <w:r>
        <w:t>En l’occurrence, les recourants n’ont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G. dont il avait appris que le compte bancaire à la banque J. avait fait l’objet d’une perquisition. Par lettre du 5 février 2009 remise par porteur au greffe du Juge d’instruction, ce même avocat s’est constitué pour la dé- fense de huit autres personnes et entités dont les comptes avaient aussi fait l’objet de recherches bancaires, dont le recourant le trust B. (act. 1.8). Toujours le 5 février 2009, Me Neyroud, avocat dans la même étude que Me Wehrli, a informé le Juge d’instruction avoir été mandaté pour cinq nou- velles personnes, elles aussi touchées par la mesure d’entraide exécutée en Suisse, dont le recourant A. (act. 1.9). Les avocats n’ont pas obtenu l’accès au dossier. Le 6 février 2009, le Juge d’instruction a informé Mes Wehrli et Neyroud que les décisions de clôture concernant leurs mandants avaient d’ores et déjà été notifiées aux établissements bancaires concer- nés. C’est à cette même occasion que le Juge d’instruction leur signifiait que «constituer la même étude pour plusieurs des protagonistes impliqués dans la procédure» lui semblait représenter une situation de «conflits po- tentiels d’intérêts». Le 13 février 2009, Mes Wehrli et Neyroud ont saisi la Commission du Barreau du canton de Genève d’une requête urgente vi- sant à les autoriser à représenter leurs mandants. Cette autorité s’est dé-</w:t>
      </w:r>
    </w:p>
    <w:p>
      <w:r>
        <w:t>- 8 -</w:t>
      </w:r>
    </w:p>
    <w:p>
      <w:r>
        <w:t>terminée le 23 février 2009. Elle a constaté qu’aucun risque concret de conflit d’intérêts n’avait en l’occurrence été établi et l’a rejetée pour le sur- plus. Entre-temps, en date des 24 février, 5 mars et 13 mars 2009, Me Wehrli s’est constitué pour quatre nouvelles parties touchées par la procédure.</w:t>
      </w:r>
    </w:p>
    <w:p>
      <w:r>
        <w:rPr>
          <w:b/>
        </w:rPr>
        <w:t>E. 3.3</w:t>
      </w:r>
    </w:p>
    <w:p>
      <w:r>
        <w:t>Le Tribunal pénal fédéral saisi au fond est en l’espèce l’autorité compétente pour décider si un avocat peut plaider et s’il est confronté à un conflit 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 vrait surgir. Dans sa prise de position sur le recours, l’OFJ signale que la procédure d’entraide est de nature administrative et non pénale. Cette au- torité souligne par ailleurs que dans le domaine de l’entraide judiciaire,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w:t>
      </w:r>
    </w:p>
    <w:p>
      <w:r>
        <w:t>- 9 -</w:t>
      </w:r>
    </w:p>
    <w:p>
      <w:r>
        <w:t>mise (voir aussi WALTER FELLMANN, in: Kommentar zum Anwaltsgesetz, Fellmann/Zindel [édit.], Zurich 2005, nos 83 ss ad art. 12).</w:t>
      </w:r>
    </w:p>
    <w:p>
      <w:r>
        <w:rPr>
          <w:b/>
        </w:rPr>
        <w:t>E. 3.6</w:t>
      </w:r>
    </w:p>
    <w:p>
      <w:r>
        <w:t>Ainsi, Mes Neyroud et Wehrli étaient légitimés à représenter les recourants et, dans le cadre de la préparation du recours au Tribunal pénal fédéral, ils auraient dû être autorisés à consulter le dossier. En ce sens, il y a lieu de reconnaître l’existence d’une violation du droit d’être entendu, justifiant une réduction de l’émolument judiciaire mis à la charge des recourants (TPF 2008 172 consid. 7.2). Cette violation a cependant été réparée dans la pro- cédure de recours par les deux tours supplémentaires d’écritures accordés aux recourants. En effet, à cette occasion, ces derniers ont non seulement obtenu la commission rogatoire dans sa version intégrale – ils en avaient reçu une copie caviardée dans le cadre de l’exécution du mandat en faveur de G. –, tout comme ils ont eu un accès illimité aux pièces bancaires relati- ves à leurs comptes nos 1 et 2. Les recourants ont été expressément ren- seignés par les décisions entreprises sur les arguments qui justifient leur remise à l’autorité étrangère et ont pu largement s’exprimer à ce sujet. Ain- si, dans ces conditions, on peut considérer que le vice a été réparé.</w:t>
      </w:r>
    </w:p>
    <w:p>
      <w:r>
        <w:rPr>
          <w:b/>
        </w:rPr>
        <w:t>E. 4</w:t>
      </w:r>
    </w:p>
    <w:p>
      <w:r>
        <w:t>Les recourants se plaignent de ce que les décisions du 4 février 2009 ne seraient pas motivées.</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 ment de précédentes décisions de l’autorité ou encore, d’autres écrits et déclarations qui auraient par hypothèse été communiqués en cours de pro- cédure (voir ATF 123 I 31 consid. 2c et d, cité à la note 23 par LORENZ KNEUBÜHLER, in Auer/Müller/Schindler (édit.), Kommentar zum Bundesge- 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t>- 10 -</w:t>
      </w:r>
    </w:p>
    <w:p>
      <w:r>
        <w:rPr>
          <w:b/>
        </w:rPr>
        <w:t>E. 4.2</w:t>
      </w:r>
    </w:p>
    <w:p>
      <w:r>
        <w:t>Sur la base des principes rappelés ci-dessus, on ne s’attardera pas sur les critiques des recourants qui sont évidemment mal fondées dans la mesure où les faits topiques ressortent expressis verbis de l’ordonnance d’entrée en matière du 27 novembre 2008, ordonnance à laquelle la décision atta- quée fait référence et dont on ne comprend pas comment elle a pu échap- per aux recourants. Il faut donc considérer que la décision attaquée était suffisamment motivée. Cela étant, même dans l’hypothèse où tel n’avait pas été le cas, ce fait ne serait pas déterminant car, dans le cadre de la procédure de recours, une absence de motivation devant l’autorité canto- nale aurait été guérie dans le cadre de la présente procédure dès lors que, dans sa réponse au recours, l’autorité intimée a encore justifié sa décision (cf. act. 11 p. 2), étant souligné aussi que les recourants ont eu la possibili- té, à deux reprises, de présenter un mémoire complémentaire pour prendre position sur les motifs contenus dans la réponse de l’autorité intimée et qu’il n’en résulte aucun préjudice pour les recourants (ATF 125 I 209 consid. 9a p. 219 et les arrêts cités; PIERRE MOOR, Droit administratif, vol. II, Berne 2002, p. 304 et les arrêts cités; BENOIT BOVAY, Procédure administrative, Berne 2000, p. 268).</w:t>
      </w:r>
    </w:p>
    <w:p>
      <w:r>
        <w:rPr>
          <w:b/>
        </w:rPr>
        <w:t>E. 5</w:t>
      </w:r>
    </w:p>
    <w:p>
      <w:r>
        <w:t>Sur le fond, les recourants invoquent le principe de la double incrimination. Ils déplorent ne pas saisir, à la lecture de la commission rogatoire, sous quelle forme les demandes de remboursement d’impôts ont été présen- tées. N’étant pas eux-mêmes contribuables britanniques, ils n’ont pas for- mulé de telles prétentions. Aucun élément ne permettrait de retenir une es- croquerie de droit commun, au sens de l’art. 146 CP. Les recourants rap- pellent les conditions plus strictes posées par la jurisprudence à l’égard des demandes d’entraide judiciaire formées pour la répression d’une escroque- rie fiscale. L’Etat requérant n’aurait pas satisfait à ces exigences. En parti- culier, on ignorerait la société dont la comptabilité a été altérée. Les infrac- tions de faux ne seraient pas suffisamment étayées. L’exposé présenterait également des lacunes en ce qui concerne l’astuce et le rôle respectifs des suspects.</w:t>
      </w:r>
    </w:p>
    <w:p>
      <w:r>
        <w:rPr>
          <w:b/>
        </w:rPr>
        <w:t>E. 5.1</w:t>
      </w:r>
    </w:p>
    <w:p>
      <w:r>
        <w:t>Davantage qu’à la qualification juridique des faits, les recourants s’en pren- nent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w:t>
      </w:r>
    </w:p>
    <w:p>
      <w:r>
        <w:t>- 11 -</w:t>
      </w:r>
    </w:p>
    <w:p>
      <w:r>
        <w:t>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w:t>
      </w:r>
    </w:p>
    <w:p>
      <w:r>
        <w:t>- 12 -</w:t>
      </w:r>
    </w:p>
    <w:p>
      <w:r>
        <w:t>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 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w:t>
      </w:r>
    </w:p>
    <w:p>
      <w:r>
        <w:t>- 13 -</w:t>
      </w:r>
    </w:p>
    <w:p>
      <w:r>
        <w:t>d’impôts injustifiées («claims to Income Tax credits») (CR p. 7, n° 1). A., D., F., M. ainsi que G. auraient agi de mèche avec E. et N.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I., une structure immatriculée à l’Ile de Man gérée par E. et N. (CR p. 7 ss), se présentait comme prêteur. Des Limited Liability Part- nerships de droit anglais étaient créées sous forme d’acquisition d’une par- ticipation au capital du groupe H. (CR p. 7, n° 1), société dont le siège so- cial est à Londres, ayant pour administrateur D. notamment. Les fonds in- jectés par l’entremise des LLP étaient ensuite transférés à la société L., une BVI opérant à partir des Pays-Bas, gérée par A. et G., lesquels se chargeaient de gérer les projets de développement en investissant les fonds levés par les promoteurs du plan (CR p. 11, n° 15). Au Royaume-Uni, 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I., L. et de la LLP concernée, pour revenir sur le compte de société L. aux Pays-Bas. L’enchaînement des opérations, tel qu’il est ressorti de la documentation bancaire du compte n° 3 de la société L. à la banque O.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sociétés I., L. et la LLP concernée s’agissant de la constitution des huit premières LLP, ainsi qu’il découle de la documentation bancaire du compte de la société L. susmentionné. En l’occurrence, selon l’état de faits fourni par l’autorité requérante et dont il n’y a pas de motif de se départir, invoquant des pertes individuelles de</w:t>
      </w:r>
    </w:p>
    <w:p>
      <w:r>
        <w:t>- 14 -</w:t>
      </w:r>
    </w:p>
    <w:p>
      <w:r>
        <w:t>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 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 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Les recourants ne contestent pas que la situation financière des LLP ne pouvait être contrôlée par l’autorité. L’enquête britannique est aussi ouverte du chef de fausse comptabilité («False Accounting»). On doit cependant convenir avec les recourants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w:t>
      </w:r>
    </w:p>
    <w:p>
      <w:r>
        <w:t>- 15 -</w:t>
      </w:r>
    </w:p>
    <w:p>
      <w:r>
        <w:t>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des recourants,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 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w:t>
      </w:r>
    </w:p>
    <w:p>
      <w:r>
        <w:t>- 16 -</w:t>
      </w:r>
    </w:p>
    <w:p>
      <w:r>
        <w:t>Suisse, pourraient tomber sous le coup de l’art. 138 CP (abus de confiance), éventuellement de l’art. 146 CP (escroquerie).</w:t>
      </w:r>
    </w:p>
    <w:p>
      <w:r>
        <w:rPr>
          <w:b/>
        </w:rPr>
        <w:t>E. 5.8</w:t>
      </w:r>
    </w:p>
    <w:p>
      <w:r>
        <w:t>Peu importe que les recourants, eux-mêmes ou leurs dirigeants, n’aient pas participé à l’escroquerie fiscale et qu’aucun comportement ne puisse leur être reproché. En effet, l’octroi de l’entraide n’implique pas que la per- sonne soumise à une mesure de contrainte dans l’Etat requis soit elle- même accusée dans l’Etat requérant. Il suffit que dans cet Etat, une procé- dure pénale soit ouverte à l’encontre d’une personne sur laquelle pèsent des charges donnant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rPr>
          <w:b/>
        </w:rPr>
        <w:t>E. 6</w:t>
      </w:r>
    </w:p>
    <w:p>
      <w:r>
        <w:t>Les recourants soutiennent que les activités de reforestation ont bien eu lieu, ce dont P., cadre à la banque J., a pu directement constater en se ren- dant en Chine en octobre 2007. Ils demandent à ce que celui-ci soit enten- du comme témoin. Les recourants perdent toutefois de vue que les ques- tions de culpabilité n’ont pas à être résolues dans le cadre de la procédure d’entraide. A ce sujet, l’art. 14 CEEJ dont la portée a été rappelée ci- dessus, impose simplement à l’autorité requérante d’expliquer en quoi consistent ses soupçons, mais pas de les prouver, ni même de les rendre vraisemblables. Selon la pratique constante, l’argumentation à décharge n’a pas sa place dans la procédure d’entraide internationale (ATF 132 II 81 consid. 2.1 p. 85 et les arrêts cités; ég. arrêt du Tribunal pénal fédéral RR.2007.118 du 30 octobre 2007, consid. 5.1). Savoir si les activités liées au reboisement ont bien eu lieu relève de la compétence du juge pénal an- glais. Il n’appartient pas à la Cour de céans, dans le cadre de la procédure d’entraide, de se substituer au juge du fond de l’Etat requérant.</w:t>
      </w:r>
    </w:p>
    <w:p>
      <w:r>
        <w:t>- 17 -</w:t>
      </w:r>
    </w:p>
    <w:p>
      <w:r>
        <w:rPr>
          <w:b/>
        </w:rPr>
        <w:t>E. 7.1</w:t>
      </w:r>
    </w:p>
    <w:p>
      <w:r>
        <w:t>Les recourants invoquent ensuite le principe de la proportionnalité en ob- jectant que les renseignements bancaires remis à leur sujet sont sans per- tinence. L’argument est manifestement mal fondé. E. est le représentant de la société C., cette dernière agissant comme trustee pour le trust B. (act. 7). E. jouit par ailleurs d’un droit de signature sur le compte du trust à la banque J. A. est le titulaire du compte n° 1 auprès de cette même banque et est l’ayant droit économique du compte appartenant au trust B. (act. 1.7). Or, A. et E. sont deux des principaux inculpés au Royaume-Uni. Dans ces circonstances, les recourants ne peuvent de bonne foi prétendre ignorer les motifs pour lesquels leurs comptes bancaires pourraient intéresser l’autorité étrangère. Il existe bien dans le présent cas un rapport objectif entre la mesure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des recou- rants, au demeurant superficielles, n’enlèvent pas aux renseignements à transmettre leur utilité, ne fût-ce que potentielle, pour les besoins de l’enquête étrangère. Quand bien même il est possible que les comptes des recourants ne soient pas directement impliqués dans les faits sous enquête, les autorités péna- les britanniques n’en disposent toutefois pas moins d’un intérêt à pouvoir le vérifier directement sur le vu d’informations complètes (arrêt du Tribunal fédéral 1A.270/2006 du 13 mars 2007, consid. 3.3). Comme le relèvent à juste titre le Juge d’instruction et l’OFJ, l’entraide vise non seulement à re- cueillir des preuves à charge, mais également à décharge (ATF 118 Ib 547 consid. 3a p. 552; ég. arrêts du Tribunal fédéral 1A.88/2006 du 22 juin 2006, consid. 5.3 et 1A.143/2004 du 29 juin 2005, consid. 2.5).</w:t>
      </w:r>
    </w:p>
    <w:p>
      <w:r>
        <w:rPr>
          <w:b/>
        </w:rPr>
        <w:t>E. 7.2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w:t>
      </w:r>
    </w:p>
    <w:p>
      <w:r>
        <w:t>- 18 -</w:t>
      </w:r>
    </w:p>
    <w:p>
      <w:r>
        <w:t>poser d’une occasion suffisante pour faire valoir ses moyens d’opposition avant la transmission (ATF 127 II 151 consid. 5b p. 159). Contrairement à ce que soutiennent les recourants, c’est à eux qu’il appar- tenait d’indiquer quelles pièces ne devaient pas être transmises et d’en pré- ciser les motifs. Même lorsque le nombre de pièces saisies est important, le recourant en connaît mieux la teneur, ce qui justifie ce devoir de collabo- ration (ATF 126 II 258 consid. 9b/aa). En l’espèce, les recourants ont dis- posé de maintes occasions pour présenter leurs objections par devant l’autorité de céans, ce qui a satisfait à leur droit d’être entendus (cf. supra consid. 3). Dans leur écrit du 7 juillet 2009, Mes Neyroud et Wehrli ont sim- plement déclaré persister dans leurs conclusions, arguant du fait que «les pièces d’exécution, non cotées, ne permettent pas d’effectuer un tri des pièces conforme à la jurisprudence, étant rappelé que l’ensemble des piè- ces du dossier sont sans pertinence aucune.» Si leur intention était d’exercer leur droit d’être entendus, il aurait fallu la traduire dans les faits. Une telle abstention donne l’impression que l’intérêt de demander la consultation des pièces d’exécution était de gagner du temps. Semblable impression est encore renforcée par le fait que les recourants ont obtenu ces pièces le 27 janvier 2009 par le canal de la banque J., comme ils l’admettent eux-mêmes dans leur recours. Ces pièces, dont le nombre n’était pas si considérable pour que dans le délai qui s’est écoulé entre la constitution des avocats les 5 février 2009 et leur prise de position du 7 juil- let 2009, ils puissent en faire une analyse un tant soit peu sérieuse, même si elles n’étaient pas numérotées. Or, une telle démonstration n’est nulle- ment entreprise, le simple fait de répéter que les pièces sont sans perti- nence n’étant pas propre à l’établir.</w:t>
      </w:r>
    </w:p>
    <w:p>
      <w:r>
        <w:rPr>
          <w:b/>
        </w:rPr>
        <w:t>E. 7.3</w:t>
      </w:r>
    </w:p>
    <w:p>
      <w:r>
        <w:t>En conclusion, l’ensemble des documents remis par la banque présente un intérêt potentiel pour l’enquête menée dans l’Etat requérant. Le grief doit par conséquent être écarté.</w:t>
      </w:r>
    </w:p>
    <w:p>
      <w:r>
        <w:rPr>
          <w:b/>
        </w:rPr>
        <w:t>E. 8</w:t>
      </w:r>
    </w:p>
    <w:p>
      <w:r>
        <w:t>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3000.--. La différence, d’un montant de CHF 3000.--, est restituée aux recourants.</w:t>
      </w:r>
    </w:p>
    <w:p>
      <w:r>
        <w:t>- 19 -</w:t>
      </w:r>
    </w:p>
    <w:p>
      <w:r>
        <w:t>Par ces motifs, la IIe Cour des plaintes prononce:</w:t>
      </w:r>
    </w:p>
    <w:p>
      <w:r>
        <w:t>1. Le recours est rejeté.</w:t>
      </w:r>
    </w:p>
    <w:p>
      <w:r>
        <w:t>2. Un émolument de CHF 3000.--, couvert par l’avance de frais acquittée, est mis à la charge des recourants.</w:t>
      </w:r>
    </w:p>
    <w:p>
      <w:r>
        <w:t>3. La différence, d’un montant de CHF 3000.--, est restituée aux recourants.</w:t>
      </w:r>
    </w:p>
    <w:p>
      <w:r>
        <w:t>Bellinzone, le 31 août 2009</w:t>
      </w:r>
    </w:p>
    <w:p>
      <w:r>
        <w:t>Au nom de la IIe Cour des plaintes du Tribunal pénal fédéral</w:t>
      </w:r>
    </w:p>
    <w:p>
      <w:r>
        <w:t>La présidente: la greffière:</w:t>
      </w:r>
    </w:p>
    <w:p>
      <w:r>
        <w:t>Distribution</w:t>
      </w:r>
    </w:p>
    <w:p>
      <w:r>
        <w:t>- Mes Olivier Wehrli et Philippe Neyroud, avocats,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