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RR.2009.348 vom 17. Dezember 2009</w:t>
      </w:r>
    </w:p>
    <w:p>
      <w:r>
        <w:t>Bundesstrafgericht, 2009-12-17, FR</w:t>
      </w:r>
    </w:p>
    <w:p>
      <w:r>
        <w:rPr>
          <w:b/>
        </w:rPr>
        <w:t xml:space="preserve">Quelle: </w:t>
      </w:r>
      <w:r>
        <w:t>https://mcp.opencaselaw.ch/entscheid/bstger_RR.2009.348</w:t>
      </w:r>
    </w:p>
    <w:p>
      <w:r>
        <w:t>FR: TPF RR.2009.348 du 17 décembre 2009</w:t>
      </w:r>
    </w:p>
    <w:p>
      <w:r>
        <w:t>IT: TPF RR.2009.348 del 17 dicembre 2009</w:t>
      </w:r>
    </w:p>
    <w:p>
      <w:pPr>
        <w:pStyle w:val="Heading2"/>
      </w:pPr>
      <w:r>
        <w:t>Regeste</w:t>
      </w:r>
    </w:p>
    <w:p>
      <w:r>
        <w:t>Entraide judiciaire internationale en matière pénale à l'Espagne. Ordonnance de perquisition et de saisie; décision incidente antérieure à la décision de clôture (art. 80e al. 2 EIMP).</w:t>
      </w:r>
    </w:p>
    <w:p>
      <w:pPr>
        <w:pStyle w:val="Heading2"/>
      </w:pPr>
      <w:r>
        <w:t>Erwägungen</w:t>
      </w:r>
    </w:p>
    <w:p>
      <w:r>
        <w:rPr>
          <w:b/>
        </w:rPr>
        <w:t>E. 11</w:t>
      </w:r>
    </w:p>
    <w:p>
      <w:r>
        <w:t>février 2004 fixant les émoluments judiciaires perçus par le Tribunal pé- nal fédéral (RS 173.711.32; arrêt du Tribunal pénal fédéral RR.2007.26 du 9 juillet 2007, consid. 9.1), est fixé en l’espèce à CHF 3000.--;</w:t>
      </w:r>
    </w:p>
    <w:p>
      <w:r>
        <w:t>que ces frais ne peuvent être prélevés, ainsi que l’a requis le recourant, sur les fonds bloqués compte tenu de l’éventualité de leur provenance crimi- nelle (cf. RR.2009.141 du 7 mai 2009, p. 5; act. 1.2) et sont couverts par l’avance de frais versée;</w:t>
      </w:r>
    </w:p>
    <w:p>
      <w:r>
        <w:t>- 5 -</w:t>
      </w:r>
    </w:p>
    <w:p>
      <w:r>
        <w:t>Par ces motifs, la IIe Cour des plaintes prononce:</w:t>
      </w:r>
    </w:p>
    <w:p>
      <w:r>
        <w:t>1. Le recours est irrecevable.</w:t>
      </w:r>
    </w:p>
    <w:p>
      <w:r>
        <w:t>2. La demande d’effet suspensif est devenue sans objet.</w:t>
      </w:r>
    </w:p>
    <w:p>
      <w:r>
        <w:t>3. La demande d’apposition de scellés est irrecevable.</w:t>
      </w:r>
    </w:p>
    <w:p>
      <w:r>
        <w:t>4. Un émolument de CHF 3000.--, couvert par l’avance de frais déjà versée, est mis à la charge du recourant.</w:t>
      </w:r>
    </w:p>
    <w:p>
      <w:r>
        <w:t>Bellinzone, le 17 décembre 2009</w:t>
      </w:r>
    </w:p>
    <w:p>
      <w:r>
        <w:t>Au nom de la IIe Cour des plaintes du Tribunal pénal fédéral</w:t>
      </w:r>
    </w:p>
    <w:p>
      <w:r>
        <w:t>La présidente: Le greffier:</w:t>
      </w:r>
    </w:p>
    <w:p>
      <w:r>
        <w:t>Distribution</w:t>
      </w:r>
    </w:p>
    <w:p>
      <w:r>
        <w:t>- Me Fernando Pedrolini, avocat - Juge d'instruction du canton de Genève - Office fédéral de la justice, Unité Entraide judiciaire</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