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RR.2009.325 vom 4. Dezember 2009</w:t>
      </w:r>
    </w:p>
    <w:p>
      <w:r>
        <w:t>Bundesstrafgericht, 2009-12-04, DE</w:t>
      </w:r>
    </w:p>
    <w:p>
      <w:r>
        <w:rPr>
          <w:b/>
        </w:rPr>
        <w:t xml:space="preserve">Quelle: </w:t>
      </w:r>
      <w:r>
        <w:t>https://mcp.opencaselaw.ch/entscheid/bstger_RR.2009.325</w:t>
      </w:r>
    </w:p>
    <w:p>
      <w:r>
        <w:t>FR: TPF RR.2009.325 du 4 décembre 2009</w:t>
      </w:r>
    </w:p>
    <w:p>
      <w:r>
        <w:t>IT: TPF RR.2009.325 del 4 dicembre 2009</w:t>
      </w:r>
    </w:p>
    <w:p>
      <w:pPr>
        <w:pStyle w:val="Heading2"/>
      </w:pPr>
      <w:r>
        <w:t>Regeste</w:t>
      </w:r>
    </w:p>
    <w:p>
      <w:r>
        <w:t>Auslieferung an Italien. Beschwerde gegen Auslieferungsentscheid (Art. 55 IRSG).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Oktober 2009 teilweise guthiess, den Entscheid des Bundesstrafge- richts aufhob und die Sache an dieses zurückwies (act. 6.9); das Bundes- strafgericht die Beschwerde daraufhin mit Entscheid RR.2009.321 vom 11. November 2009 erneut abwies (act. 6.10); - das Bundesamt zwischenzeitlich am 16. September 2009 einen Ausliefe- rungsentscheid erlassen und die Auslieferung des Verfolgten an Italien für die dem Auslieferungsersuchen der italienischen Botschaft vom 9. Juni 2009 zugrunde liegenden Straftaten bewilligt hat (act. 1.1 bzw. 6.7);</w:t>
      </w:r>
    </w:p>
    <w:p>
      <w:r>
        <w:t>- 3 -</w:t>
      </w:r>
    </w:p>
    <w:p>
      <w:r>
        <w:t>- A. gegen den Auslieferungsentscheid am 19. Oktober 2009 mit Beschwer- de an die II. Beschwerdekammer des Bundesstrafgerichts gelangt und be- antragt, die Auslieferung sei abzulehnen (act. 1); - das Bundesamt in seiner Beschwerdeantwort vom 16. November 2009 den Antrag auf Abweisung der Beschwerde stellt (act. 6); - A. mit Schreiben vom 24. November 2009 mitteilen lässt, auf eine Replik zu verzichten und die Beschwerde zurückzuziehen (act. 8); - das Beschwerdeverfahren daher zufolge Rückzugs der Beschwerde als er- ledigt abzuschreiben ist; - der Beschwerdeführer, der seine Beschwerde zurückzieht, grundsätzlich als unterliegende Partei zu gelten und folglich gemäss Art. 30 lit. b SGG i.V.m. Art. 63 Abs. 1 VwVG die Gerichtskosten zu tragen hat (Entscheide des Bundesstrafgerichts RR.2007.4 vom 6. März 2007 und RR.2007.70 vom 30. Mai 2007), wobei die Gerichtsgebühr vorliegend auf Fr. 500.00 an- zusetzen ist (vgl. Art. 3 des Reglements vom 11. Februar 2004 über die Gerichtsgebühren vor dem Bundesstrafgericht, SR 173.711.32), unter An- rechnung des geleisteten Kostenvorschusses von Fr. 3'000.00; die Bun- desstrafgerichtskasse damit anzuweisen ist, dem Beschwerdeführer den Restbetrag von Fr. 2'500.00 zurückzuerstatten.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