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RR.2009.323 vom 28. Juli 2010</w:t>
      </w:r>
    </w:p>
    <w:p>
      <w:r>
        <w:t>Bundesstrafgericht, 2010-07-28, DE</w:t>
      </w:r>
    </w:p>
    <w:p>
      <w:r>
        <w:rPr>
          <w:b/>
        </w:rPr>
        <w:t xml:space="preserve">Quelle: </w:t>
      </w:r>
      <w:r>
        <w:t>https://mcp.opencaselaw.ch/entscheid/bstger_RR.2009.323</w:t>
      </w:r>
    </w:p>
    <w:p>
      <w:r>
        <w:t>FR: TPF RR.2009.323 du 28 juillet 2010</w:t>
      </w:r>
    </w:p>
    <w:p>
      <w:r>
        <w:t>IT: TPF RR.2009.323 del 28 luglio 2010</w:t>
      </w:r>
    </w:p>
    <w:p>
      <w:pPr>
        <w:pStyle w:val="Heading2"/>
      </w:pPr>
      <w:r>
        <w:t>Regeste</w:t>
      </w:r>
    </w:p>
    <w:p>
      <w:r>
        <w:t>Internationale Rechtshilfe in Strafsachen an die Niederlande. Herausgabe von Beweismitteln (Art. 74 IRSG).</w:t>
      </w:r>
    </w:p>
    <w:p>
      <w:pPr>
        <w:pStyle w:val="Heading2"/>
      </w:pPr>
      <w:r>
        <w:t>Erwägungen</w:t>
      </w:r>
    </w:p>
    <w:p>
      <w:r>
        <w:rPr>
          <w:b/>
        </w:rPr>
        <w:t>E. 19</w:t>
      </w:r>
    </w:p>
    <w:p>
      <w:r>
        <w:t>Dezember 2008 erneut an die Schweiz und ersuchten wiederum um Herausgabe von Bankunterlagen u.a. von auf A. lautenden Konten oder solchen, an denen sie indirekt beteiligt oder bevollmächtigt ist bzw. war. Die Unterlagen sollten bei der Bank C. Zürich ediert werden und die Zeitspanne vom 1. Januar 1984 bis heute betreffen. C. Mit Eintretens- und Zwischenverfügung vom 5. März 2009 hat die Bundes- anwaltschaft die Bank C. angewiesen, u.a. die vollständigen Kontoeröff- nungsunterlagen, Konto- und Depotauszüge betreffend Konten lautend auf A. herauszugeben. Dieser Aufforderung ist die Bank C. nachgekommen und übermittelte Unterlagen zum Konto Nr. 1 (act. 1.1 S. 4). D. Mit Schlussverfügung vom 17. September 2009 entsprach die Bundesan- waltschaft dem Rechtshilfeersuchen und verfügte die Herausgabe der Bankunterlagen des Kontos Nr. 1 (Kontoinhaberin A.) bei der Bank C. (act. 1.1).</w:t>
      </w:r>
    </w:p>
    <w:p>
      <w:r>
        <w:t>E. Mit Beschwerde vom 19. Oktober 2009 gelangte der Vertreter von A. an die II. Beschwerdekammer des Bundesstrafgerichts und beantragt folgendes (act. 1):</w:t>
      </w:r>
    </w:p>
    <w:p>
      <w:r>
        <w:t>„1.) Die Schlussverfügung RIZ.07.0029-SM der Bundesanwaltschaft vom 17. Sep- tember 2009 in Sachen Rechtshilfe für die Niederlande sei aufzuheben, es sei in</w:t>
      </w:r>
    </w:p>
    <w:p>
      <w:r>
        <w:t>- 3 -</w:t>
      </w:r>
    </w:p>
    <w:p>
      <w:r>
        <w:t>dieser Sache keine Rechtshilfe zu gewähren, die Bankunterlagen gemäss Disposi- tiv Ziffer 2 dieser Schlussverfügung seien der Beschwerdeführerin herauszugeben.</w:t>
      </w:r>
    </w:p>
    <w:p>
      <w:r>
        <w:t>2.) Der Beschwerdeführerin seien keinerlei Kosten des vorinstanzlichen und des vorliegenden Verfahrens aufzuerlegen, und es sei ihr für ihre Umtriebe in diesem Verfahren eine Parteientschädigung gemäss einschlägigem Anwaltsgebührentarif zuzusprechen.“</w:t>
      </w:r>
    </w:p>
    <w:p>
      <w:r>
        <w:t>Sowohl die Bundesanwaltschaft wie auch das Bundesamt für Justiz (nach- folgend „BJ“) beantragen in ihren Beschwerdeantworten vom 19. bzw.</w:t>
      </w:r>
    </w:p>
    <w:p>
      <w:r>
        <w:rPr>
          <w:b/>
        </w:rPr>
        <w:t>E. 23</w:t>
      </w:r>
    </w:p>
    <w:p>
      <w:r>
        <w:t>November 2009 die Abweisung der Beschwerde (act. 8, 9). Der Vertre- ter von A. reichte keine Replik ein.</w:t>
      </w:r>
    </w:p>
    <w:p>
      <w:r>
        <w:t>Auf die weiteren Ausführungen der Parteien und die eingereichten Akten wird, soweit erforderlich, in den rechtlichen Erwägungen Bezug genommen.</w:t>
      </w:r>
    </w:p>
    <w:p>
      <w:r>
        <w:t>Die II. Beschwerdekammer zieht in Erwägung:</w:t>
      </w:r>
    </w:p>
    <w:p>
      <w:r>
        <w:t>1. Für die Rechtshilfe zwischen den Niederlanden und der Schweiz sind in erster Linie das Europäische Übereinkommen vom 20. April 1959 über die Rechtshilfe in Strafsachen (EUeR; SR 0.351.1) sowie die Bestimmungen der Art. 48 ff. des Übereinkommens vom 19. Juni 1990 zur Durchführung des Übereinkommens von Schengen vom 14. Juni 1985 (Schengener Durchführungsübereinkommen, SDÜ; ABl. L 239 vom 22. September 2000, S. 19 – 62) zwecks Ergänzung und Erleichterung der Anwendung des EUeR massgebend. Insbesondere gelangt hier auch das Übereinkommen vom 8. November 1990 über Geldwäscherei sowie Ermittlung, Beschlag- nahme und Einziehung von Erträgen aus Straftaten zur Anwendung (GwUe; SR 0.311.53).</w:t>
      </w:r>
    </w:p>
    <w:p>
      <w:r>
        <w:t>Soweit die genannten Staatsverträge bestimmte Fragen nicht abschlies- send regeln, findet das Recht des ersuchten Staates Anwendung, vorlie- gend also das Bundesgesetz vom 20. März 1981 über internationale Rechtshilfe in Strafsachen (IRSG; SR 351.1) und die Verordnung vom</w:t>
      </w:r>
    </w:p>
    <w:p>
      <w:r>
        <w:rPr>
          <w:b/>
        </w:rPr>
        <w:t>E. 24</w:t>
      </w:r>
    </w:p>
    <w:p>
      <w:r>
        <w:t>Februar 1982 über internationale Rechtshilfe in Strafsachen (IRSV; SR 51.11). Das innerstaatliche Recht gelangt nach dem Günstigkeitsprinzip auch dann zur Anwendung, wenn dieses geringere Anforderungen an die Rechtshilfe stellt (BGE 122 II 140 E. 2 S. 142; 129 II 462 E. 1.1 S. 464). Das Günstigkeitsprinzip gilt auch zwischen EUeR und SDÜ (Art. 48 Abs. 2 SDÜ). Vorbehalten ist die Wahrung der Menschenrechte</w:t>
      </w:r>
    </w:p>
    <w:p>
      <w:r>
        <w:t>- 4 -</w:t>
      </w:r>
    </w:p>
    <w:p>
      <w:r>
        <w:t>(BGE 123 II 595 E. 7c; BGE 1B_217/2009 vom 17. September 2009, E. 2.3).</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 ber 2002 über das Bundesstrafgericht, SGG, SR 173.71; Art. 9 Abs. 3 des Reglements vom 20. Juni 2006 für das Bundesstrafgericht, SR 173.710).</w:t>
      </w:r>
    </w:p>
    <w:p>
      <w:r>
        <w:t>Die Schlussverfügung vom 17. September 2009, der Beschwerdeführerin am 18. September 2009 zugestellt, wurde mit vorliegender Beschwerde vom 19. Oktober 2009 fristgerecht angefochten.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Bankunterlagen eines Kontos der Beschwerdeführerin an die ersuchende Behörde herausgegeben werden sollen. Inhaberin des Kontos ist die Beschwerdeführerin. Damit ist sie beschwerdelegitimiert, weshalb auf ihre Beschwerde einzutreten ist.</w:t>
      </w:r>
    </w:p>
    <w:p>
      <w:r>
        <w:t>3.</w:t>
      </w:r>
    </w:p>
    <w:p>
      <w:r>
        <w:t>3.1 Die Beschwerdeführerin macht eine fehlende bzw. völlig unzureichende Sachverhaltsdarstellung geltend. Diese widerspreche in allen entscheiden- den Punkten unverdächtigen Dokumenten. Zunächst habe sich die Be- hauptung, wonach die Grundstücke am Z. in den Jahren 1994/1995 mit aus der D.-Entführung stammendem Geld gekauft worden seien, inzwischen als haltlos erwiesen. So habe E., auf dessen Angaben sich diese Behauptung bis anhin gestützt habe, laut zuständigem Staatsanwalt Zwinkels keine ent- sprechende Aussage gemacht. Sodann handle es sich beim Verkauf der Villa Francis von F. an G., Ehemann der Beschwerdeführerin, um eine rea-</w:t>
      </w:r>
    </w:p>
    <w:p>
      <w:r>
        <w:t>- 5 -</w:t>
      </w:r>
    </w:p>
    <w:p>
      <w:r>
        <w:t>le mit Beweismitteln belegte Transaktion. Dass die Teilzahlungen von G. an den Kaufpreis dieser Liegenschaft in Wirklichkeit dem Ankauf der Häuser am Z. durch die Beschwerdeführerin gedient hätten, werde u.a. durch Kaufverträge und Hypothekenurkunden widerlegt. Das Landgericht Ams- terdam habe ferner entschieden, die Beschlagnahme dieser Häuser aufzu- heben, da keine hinreichenden Verdachtsmomente vorlägen, wonach die Beschwerdeführerin die Liegenschaften nicht mit ihrem eigenen Geld ge- kauft habe. Die Gelder, welche G. als Darlehen an die Beschwerdeführerin und H. zum Kauf der Häuser am Z. gewährt habe, stammten aus dem Ver- kauf einer Immobilie. Dies ergebe sich aus notariellen Urkunden. Die Aus- zahlung des Darlehens sodann sei durch Kontoauszüge belegt. Ebenso wenig hätten die Zahlungen von EUR 100'000.-- und EUR 380'000.--, wel- che G. von B. erhalten habe, etwas mit dem Ankauf der Häuser am Z. zu tun. Dies sei schon nur deshalb widersprüchlich, da die Barabhebung von EUR 380'000.-- erst am 21. Januar 2007 erfolgt, das Darlehen aber bereits am 12. Januar 2007 ausbezahlt worden sei (act. 1 Ziff. 6 – 13). 3.2 In formeller Hinsicht muss das Rechtshilfeersuchen insbesondere Angaben über den Gegenstand und den Grund des Ersuchens enthalten (Art. 14 Ziff. 1 lit. b EUeR). Ausserdem muss das Ersuchen in Fällen wie dem vorliegenden die strafbare Handlung bezeichnen und eine kurze Dar- stellung des Sachverhalts enthalten (Art. 14 Ziff. 2 EUeR). Art. 28 Abs. 2 und 3 IRSG i.V.m. Art. 10 IRSV und Art. 27 Ziff. 1 GwUe stellen entspre- chende Anforderungen an das Rechtshilfeersuchen. Diese Angaben müs- sen der ersuchten Behörde allerdings nur die Prüfung erlauben, ob die doppelte Strafbarkeit gegeben ist (vgl. Art. 5 Ziff. 1 lit. a EUeR; infra Ziff. 5), ob die Handlungen wegen denen um Rechtshilfe ersucht wird, nicht politi- sche oder fiskalische Delikte darstellen (Art. 2 lit. a EUeR)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 kräftet wird (vgl. BGE 132 II 81 E. 2.1 S. 85 mit Hinweisen; Urteil des Bun-</w:t>
      </w:r>
    </w:p>
    <w:p>
      <w:r>
        <w:t>- 6 -</w:t>
      </w:r>
    </w:p>
    <w:p>
      <w:r>
        <w:t>desgerichts 1A.90/2006 und weitere vom 30. August 2006, E. 2.1; TPF 2007 150 E. 3.2.4).</w:t>
      </w:r>
    </w:p>
    <w:p>
      <w:r>
        <w:t>3.3</w:t>
      </w:r>
    </w:p>
    <w:p>
      <w:r>
        <w:t>3.3.1 Gemäss Rechtshilfeersuchen vom 10. Mai 2007 und Ergänzung vom 18. Juni 2007 seien I. und J. an der Entführung von D., Inhaber des nieder- ländischen Konzerns K., und dessen Fahrer im Jahre 1983 beteiligt gewe- sen. Sie seien dafür verurteilt worden und hätten eine Freiheitsstrafe ver- büsst. B. sei wegen dieses Delikts ebenfalls beschuldigt, jedoch nicht ver- urteilt worden. Er wird von der ersuchenden Behörde aber verdächtigt, das aus der Entführung erlangte (und nie wiedergefundene) Lösegeld in der Höhe von NLG 8 Mio. in verschiedene Immobilien im In- und Ausland in- vestiert und damit vervielfältigt zu haben. Eine sodann im Jahre 1997 u.a. gegen van I., J. und B. geführte Untersu- chung habe ergeben, dass B. Grossaktionär der L. BV und der M. BV sei. Diese Gesellschaften betrieben ein erotisches Museum sowie eine Spiel- hölle und hielten diverse weitere (im Rechtshilfeersuchen namentlich ge- nannte) Firmen, welche Inhaber verschiedener Immobilien im Vergnü- gungsviertel der Stadtmitte von Amsterdam seien. B. besitze so direkt oder indirekt 12 Gebäude am Z. im Y., welche dem Prostitutionsgewerbe dien- ten. Zudem sei er Inhaber von Immobilien in Spanien. Es sei wahrschein- lich, dass die genannten Besitztümer vom Lösegeld gekauft worden seien und er daran nicht Alleineigentümer sei. Vielmehr stünden die Liegenschaf- ten im gemeinschaftlichen Eigentum von ihm, J. und I. Die niederländi- schen Behörden vermuten, dass etwa im Oktober 1996 eine Verteilung der Besitztümer unter den Entführern stattgefunden habe. So seien I. wahr- scheinlich die Immobilien am Z. in Y. zugeteilt worden und J. habe andere Gebäude in Amsterdam im Wert von NLG 8,5 Mio. erhalten. B. demgegen- über habe die Liegenschaften in Spanien und ein Geldbetrag von NLG 2,5 Mio. bekommen. Zur Verschleierung der Investitionstätigkeiten hätten I. und J. den Sitz zweier (bereits bestehender) Gesellschaften auf die nieder- ländischen Antillen bzw. die britischen Jungferninsel verlegt und hätten zu- dem Strohmänner eingesetzt. So sei beispielsweise ein N. für I. aufgetre- ten. Als N. im Jahre 2001 gestorben sei, hat angeblich der Buchhalter O. dessen Aufgabe übernommen. Nach der Ermordung I.’s sodann, habe B. G. als Interessenvertreter der einst I. gehörenden Immobilien am Z. in Y. eingesetzt. Aus den laufenden Ermittlungen ergibt sich gemäss ersuchender Behörde, dass B., I.’s Ehefrau F., deren Schwester P., O. und ein Q. beschlossen hätten, die Gebäude am Z. zu verkaufen. So sei ein Teil am 6. Oktober 2006 bzw. 15. Januar 2007 an die Ehefrau von B., R., an die Beschwerde-</w:t>
      </w:r>
    </w:p>
    <w:p>
      <w:r>
        <w:t>- 7 -</w:t>
      </w:r>
    </w:p>
    <w:p>
      <w:r>
        <w:t>führerin und an H. übergegangen. Der Kauf sei auch aus Mitteln von Q. und einem S. getätigt worden, wobei dieses Geld vermutlich aus Rausch- gifthandel stamme. 3.3.2 Im Rechtshilfeersuchen vom 19. Dezember 2008 führt die ersuchende Be- hörde nun aus, es bestehe die Vermutung, dass der Verkauf der Häuser in den Jahren 2006 und 2007 in Wirklichkeit bereits 2003 erfolgt sei. So habe F. am 17. Februar 2003 ein Konto bei der Bank C. eröffnet, auf welches der Beschwerdeführer am 26. Februar 2003 einen Betrag von EUR 680'670.32 und H. am 17. März 2003 EUR 574'899.60 überwiesen hätten. Laut F. sei- en die Transaktionen im Zusammenhang mit dem Verkauf ihrer Immobilie in Spanien sowie dem Verkauf von Gold getätigt worden. Die ersuchende Behörde geht jedoch davon aus, dass die Überweisungen im Zusammen- hang mit den Häusern am Z. stehen. Zudem vermutet sie, dass B. seiner Ehefrau R. den Betrag von EUR 550'000.-- für den Kauf der Häuser am Z. zur Verfügung gestellt habe, wobei diese Gelder über verschiedenste Per- sonen und Gesellschaften wieder an diesen zurückgeflossen seien. Weiter hätten G. und T. (Geschäftspartner und wahrscheinlich auch Strohmann von Q.) an die Beschwerdeführerin und H. hypothekarische Darlehen in der Höhe von EUR 100'000.-- und EUR 400'000.-- für den Kauf der Liegen- schaften am Z. gewährt. Zur Herkunft der Darlehen führt die ersuchende Behörde folgendes aus: am 17. Januar 2006 habe G. im Auftrag von B. bei AA. einen Betrag von EUR 105'000.-- in bar abgeholt, am 7. November 2006 weitere EUR 100'000.--. Das Geld sei dabei beide Male von einem B. gehörenden Bankkonto abgehoben worden. B. selber soll am 21. Januar 2007 EUR 380'000.-- geholt haben. Wahrscheinlich seien die letzteren bei- den Beträge für die Darlehensgewährung seitens T. und G. gebraucht wor- den. Die ersuchende Behörde hat überdies weiter festgestellt, dass nach dem Verkauf der Häuser eine Summe von EUR 1'040'000.-- auf ein Bank- konto von B. geflossen sei. Dabei handle es sich wahrscheinlich um den Verkaufserlös. Dieser Betrag sei danach weiter auf ein Deposito-Konto ge- flossen, in amerikanische Dollar gewechselt und weitertransferiert worden. Diese Überweisungen will die ersuchende Behörde nun näher untersuchen. Es könne nicht ausgeschlossen werden, dass diese Gelder an Q., H., die Beschwerdeführerin und/oder G. zurückgeflossen seien. 3.4 Bei den Ausführungen der Beschwerdeführerin handelt es sich grössten- teils um unzulässige Gegendarstellungen, welche die laufenden Untersu- chungen betreffen und dementsprechend vom ausländischen Sachrichter und nicht dem Rechtshilferichter untersucht und überprüft werden. Es wird keine offensichtlich unrichtige, lückenhafte oder widersprüchliche Sachdar- stellung dargetan. Insbesondere erweist sich der von der Beschwerdefüh- rerin angesprochene Widerspruch betreffend Daten der Darlehensauszah-</w:t>
      </w:r>
    </w:p>
    <w:p>
      <w:r>
        <w:t>- 8 -</w:t>
      </w:r>
    </w:p>
    <w:p>
      <w:r>
        <w:t>lung (vgl. E. 3.1 in fine) als haltlos, lässt sich dem Rechtshilfeersuchen doch kein Datum der Darlehensgewährung entnehmen. Auch aus den dem Gericht vorliegenden Unterlagen ergeben sich keine Anhaltspunkte eines offensichtlich unrichtigen, lückenhaften oder widersprüchlichen Sachver- halts. Das von der Beschwerdeführerin angerufene Schreiben von Staats- anwalt Zwinkels vermag ihren Einwand, wonach die Häuser am Z. nicht vom Lösegeld aus der Entführung gekauft worden seien, nicht zu stützen. Die Ausführungen im Schreiben stimmen mit den Darlegungen in den Rechtshilfeersuchen überein (vgl. act. 8 Beilage Nr. 9 mit Nr. 3 und 4). Auch der Beschluss des Landgerichts Amsterdam betreffend Aufhebung der Beschlagnahme jener der Beschwerdeführerin gehörenden Häuser am Z. (act. 8 Beilage Nr. 6) steht nicht im Widerspruch zu dem im Rechtshilfe- ersuchen dargelegten Sachverhalt. Zwischenzeitlich ergangene Entscheide des ersuchenden Staates werden nicht berücksichtigt (vgl. dazu ausführlich Entscheid des Bundesstrafgerichts RR.2008.278 vom 7. Mai 2009, E. 4). Solange die ersuchende Behörde – wie vorliegend (act. 8 Beilage Nr. 6) – an ihrem Rechtshilfeersuchen festhält, ist auf dieser Grundlage Rechtshilfe zu leisten. Demnach enthält der im Rechtshilfeersuchen dargestellte Sachverhalt kei- ne offensichtlichen Fehler, Lücken oder Widersprüche. Zudem vermag er dem Erfordernis der doppelten Strafbarkeit zu genügen, was auch nicht bestritten wird. Weitere Ausführungen dazu erübrigen sich daher und es kann auf die Erwägungen in der angefochtenen Schlussverfügung (act. 1.1 Ziff. II/4, III/5) und dem Entscheid des Bundesstrafgerichts RR.2008.212 vom 3. April 2009, E. 3.4 / 3.5, verwiesen werden. Damit erfüllt der Sach- verhalt die Voraussetzungen von Art. 14 EUeR bzw. Art. 28 IRSG. Die Rü- ge des Beschwerdeführers geht fehl. 4. Die Beschwerdeführerin spricht in allgemeiner Weise auch das Verbot der Beweisausforschung an (act. 1 Ziff. 4, 12), macht dazu im konkreten Fall jedoch keine weiteren Ausführungen und nennt als Beschwerdegrund ex- plizit nur den offensichtlich fehlerhaften und ungenügenden Sachverhalt (act. 1 Ziff. 13). In diesem Sinne erübrigen sich weitere Ausführungen zur Frage des Konnexes und es wird diesbezüglich auf die zutreffenden Erwä- gungen in der angefochtenen Schlussverfügung verwiesen (act. 1.1 Ziff. III/5 – 8, IV/3, 4, 6, 7). 5. Der Herausgabe der in der angefochtenen Schlussverfügung genannten Dokumenten steht nach dem Gesagten nichts entgegen. Die Beschwerde erweist sich als unbegründet.</w:t>
      </w:r>
    </w:p>
    <w:p>
      <w:r>
        <w:t>- 9 -</w:t>
      </w:r>
    </w:p>
    <w:p>
      <w:r>
        <w:t>6. Bei diesem Ausgang des Verfahrens wird die Beschwerdeführerin kosten- pflichtig (Art. 63 Abs. 1 VwVG i.V.m. Art. 30 lit. b SGG). Für die Berech- nung der Gerichtsgebühren gelangt gemäss Art. 63 Abs. 5 VwVG das Reg- lement vom 11. Februar 2004 über die Gerichtsgebühren vor dem Bundes- strafgericht (SR 173.711.32) zur Anwendung. Die Beschwerdeführerin wur- de zur Leistung eines Kostenvorschusses von Fr. 5'000.-- eingeladen (act. 3). Bei der Bundesstrafgerichtskasse sind in der Folge lediglich Fr. 4'993.-- eingegangen (act. 6). Der Differenzbetrag wurde von der Bank als Spesen in Abzug gebracht, da die Überweisung aus dem Ausland er- folgte. Demnach wird die Gerichtsgebühr auf Fr. 4'993.-- festgesetzt.</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