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RR.2009.316 vom 9. April 2010</w:t>
      </w:r>
    </w:p>
    <w:p>
      <w:r>
        <w:t>Bundesstrafgericht, 2010-04-09, IT</w:t>
      </w:r>
    </w:p>
    <w:p>
      <w:r>
        <w:rPr>
          <w:b/>
        </w:rPr>
        <w:t xml:space="preserve">Quelle: </w:t>
      </w:r>
      <w:r>
        <w:t>https://mcp.opencaselaw.ch/entscheid/bstger_RR.2009.316</w:t>
      </w:r>
    </w:p>
    <w:p>
      <w:r>
        <w:t>FR: TPF RR.2009.316 du 9 avril 2010</w:t>
      </w:r>
    </w:p>
    <w:p>
      <w:r>
        <w:t>IT: TPF RR.2009.316 del 9 aprile 2010</w:t>
      </w:r>
    </w:p>
    <w:p>
      <w:pPr>
        <w:pStyle w:val="Heading2"/>
      </w:pPr>
      <w:r>
        <w:t>Regeste</w:t>
      </w:r>
    </w:p>
    <w:p>
      <w:r>
        <w:t>Assistenza giudiziaria internazionale in materia penale all'Italia/Consegna di mezzi di prova (art. 74 AIMP): legittimazione ricorsuale; esposto dei fatti; doppia punibilità e reati fiscali; proporzionalità; ne bis in idem; prescrizione del reato all'estero; sequestro e segreto professionale dell'avvocato.</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Alle questioni che il pre- valente diritto internazionale contenuto in detti trattati non regola espres- samente o implicitamente, come pure quando il diritto nazionale sia più fa- vorevole all'assistenza rispetto a quello patrizio (cosiddetto principio di fa- vore), si applicano la legge federale sull'assistenza internazionale in mate- ria penale del 20 marzo 1981 (AIMP; RS 351.1), unitamente alla relativa ordinanza (OAIMP; RS 351.11; v. art. 1 cpv. 1 AIMP, art. I n. 2 dell'Accordo italo-svizzero; DTF 135 IV 212 consid. 2.3; 123 II 134 consid. 1a; 122 II 140 consid. 2). Il principio di favore vale anche nell'applicazione delle pertinenti norme di diritto internazionale (v. art. 48 CAS). È fatto salvo il rispetto dei diritti fondamentali (DTF 123 II 595 consid. 7c, con rinvii dottrinali).</w:t>
      </w:r>
    </w:p>
    <w:p>
      <w:r>
        <w:rPr>
          <w:b/>
        </w:rPr>
        <w:t>E. 1.3</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1.4</w:t>
      </w:r>
    </w:p>
    <w:p>
      <w:r>
        <w:t>La ricevibilità del gravame presuppone tuttavia anche la legittimazione a ri- correre degli insorgenti giusta l’art. 80h AIMP. In base a quest’ultima dispo- sizione, oltre all’UFG (art. 80h lett. a AIMP), ha diritto di ricorrere chiunque è toccato personalmente e direttamente da una misura d’assistenza giudi-</w:t>
      </w:r>
    </w:p>
    <w:p>
      <w:r>
        <w:t>- 4 -</w:t>
      </w:r>
    </w:p>
    <w:p>
      <w:r>
        <w:t>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TPF 2007 79 consid.</w:t>
      </w:r>
    </w:p>
    <w:p>
      <w:r>
        <w:rPr>
          <w:b/>
        </w:rPr>
        <w:t>E. 1.6</w:t>
      </w:r>
    </w:p>
    <w:p>
      <w:r>
        <w:t>pag. 82), mentre gli interessati toccati solo in maniera indiretta, come ad esempio il mero avente diritto economico di un conto bancario, non pos- sono impugnare tali provvedimenti (DTF 122 II 130 consid. 2b e rinvii). Per lo stesso motivo, nel caso di documenti in possesso di terzi, soltanto questi ultimi in quanto loro possessori possono contestare il sequestro degli stes- si, anche se i documenti in questione concernono un’altra persona contro la quale è pendente un procedimento penale estero (DTF 123 II 161 consid. 1d; 116 Ib 106 consid. 2a; TPF 2007 79 consid. 1.6). Secondo la giurispru- denza, questo vale parimenti nel caso di documentazione bancaria detenu- ta da un avvocato o da una fiduciaria in ragione di un mandato (sentenza del Tribunale federale 1A.293/2004 del 18 marzo 2005, consid. 2.3; sen- tenza del Tribunale penale federale RR.2007.101 del 12 luglio 2007, con- sid. 2.1). La persona perseguita all'estero non può ricorrere contro misure che toccano terzi (DTF 116 Ib 106 consid. 2a/aa; 110 Ib 387 consid. 3b). La</w:t>
      </w:r>
    </w:p>
    <w:p>
      <w:r>
        <w:t>- 5 -</w:t>
      </w:r>
    </w:p>
    <w:p>
      <w:r>
        <w:t>legittimazione a impugnare la trasmissione di verbali d'interrogatorio spetta, di massima, unicamente al teste sottoposto direttamente alla misura coerci- tiva e solo nella misura in cui è chiamato a fornire informazioni che lo con- cernono personalmente o che si prevale del suo diritto di non testimoniare (DTF 126 II 258 consid. 2d/bb; 122 II 130 consid. 2b; 121 II 459; ROBERT ZIMMERMANN, La coopération judiciaire internationale en matière pénale, 3a ed., Berna 2009, n. 526 e n. 532). Un terzo, per contro, non è legittimato a contestare la consegna di un verbale d'audizione allo Stato richiedente neppure quando le affermazioni ivi contenute lo tocchino personalmente. È ammessa un'eccezione a questa prassi solo per il titolare del conto oggetto della domanda di assistenza e solo in quanto le informazioni contenute nel verbale possano essere equiparate a una trasmissione di documenti con- cernenti la relazione e il titolare sarebbe stato, in tal caso, legittimato a im- pugnarne la trasmissione (DTF 124 II 180 consid. 2; sentenza del Tribunale federale 1A.282/2005 del 30 aprile 2007, consid. 2.3.1 nonché 1A.141/1998 del 9 febbraio 1999 consid. 2a, apparsa in: Rep 1999 pag. 123).</w:t>
      </w:r>
    </w:p>
    <w:p>
      <w:r>
        <w:t>Alla luce di quanto esposto, A. SA (in seguito: la ricorrente o insorgente) è legittimata a ricorrere contro la trasmissione di tutti gli atti oggetto della de- cisione impugnata, inclusi il verbale d'interrogatorio del 25 novembre 2008 concernente L., dato che contiene informazioni su operazioni intervenute mediante il conto bancario della A. SA, nonché il verbale di sequestro del</w:t>
      </w:r>
    </w:p>
    <w:p>
      <w:r>
        <w:rPr>
          <w:b/>
        </w:rPr>
        <w:t>E. 3</w:t>
      </w:r>
    </w:p>
    <w:p>
      <w:r>
        <w:t>Censurata viene anche la violazione del principio della doppia punibilità, ri- tenuto che agli indagati verrebbe soltanto rimproverato il non rispetto di di- sposizioni di mero carattere amministrativo, giacché contenute in una "Gui- da per richiedenti un finanziamento SAPARD", ciò che a priori escludereb- be la truffa e la violazione di atti normativi vincolanti. Posto inoltre che agli indagati non verrebbe in nessun modo imputato l'ottenimento di finanzia- menti pubblici senza aver poi effettivamente realizzato i progetti in discus- sione, essa evidenzia che la domanda di assistenza verterebbe piuttosto su reati di carattere fiscale.</w:t>
      </w:r>
    </w:p>
    <w:p>
      <w:r>
        <w:rPr>
          <w:b/>
        </w:rPr>
        <w:t>E. 3.1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 l'art. 64 cpv. 1 AIMP.</w:t>
      </w:r>
    </w:p>
    <w:p>
      <w:r>
        <w:t>Nell'ambito dell'esame della doppia punibilità, l'autorità non si scosta 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w:t>
      </w:r>
    </w:p>
    <w:p>
      <w:r>
        <w:t>- 8 -</w:t>
      </w:r>
    </w:p>
    <w:p>
      <w:r>
        <w:t>pag. 594). I fatti incriminati non devono forzatamente essere caratterizzati, nelle due legislazioni toccate, dalla medesima qualificazione giuridica (DTF 124 II 184 consid. 4b/cc pag. 188).</w:t>
      </w:r>
    </w:p>
    <w:p>
      <w:r>
        <w:rPr>
          <w:b/>
        </w:rPr>
        <w:t>E. 3.2</w:t>
      </w:r>
    </w:p>
    <w:p>
      <w:r>
        <w:t>L'art. 2 lett. a CEAG permette di rifiutare l'assistenza giudiziaria allorquando la domanda si riferisce a reati considerati dalla Parte richiesta come reati fi- 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DPA, disposizione applica- 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 chiesto, deroga alla regola secondo la quale l'autorità d'esecuzione non deve determinarsi sulla realtà dei fatti (DTF 118 Ib 111 consid. 5b). Pur senza dover fornire prove indiscutibili sulla colpevolezza della persona per- seguita, lo Stato richiedente deve sostanziare l'esistenza di sufficienti so- spetti circa la commissione di una truffa fiscale (DTF 125 II 250 consid. 5b; 118 Ib 111 consid. 5b). Tali particolari esigenze hanno come scopo quello di evitare che le norme ostative all'assistenza in materia economica e fisca- le vengano raggirate (TPF 2007 150 consid. 3.2.4). Lo Stato richiedente non deve necessariamente allegare alla domanda i mezzi di prova. È suffi- ciente ch'esso li indichi e ne renda verosimile l'esistenza (v. sentenza del Tribunale federale 1A.183/1995 del 13 ottobre 1995, consid. 2d, citata da ZIMMERMANN, op. cit., pag. 599 n. 644 nota 689). Questo vale però solo in ambito di fiscalità diretta, visto che in base all'art. 50 n. 1 CAS in materia di imposte indirette la distinzione fra evasione e frode fiscale non costituisce più una discriminante di rilievo in materia di assistenza giudiziaria interna- zionale (v. RUDOLF WYSS, Neuerungen im Bereich der justiziellen Zusam- menarbeit in Strafsachen im Rahmen von Schengen, in S. Breitenmoser/S. Gless/O. Lagodny [ed.], Schengen in der Praxis, Erfahrungen und Ausbli- cke, Zurigo/San Gallo 2009, pag. 338; LAURENT MOREILLON, La coopération judiciaire pénale dans l'Espace Schengen, in Laurent Moreillon [ed.], Aspects pénaux des Accords bilatéraux Suisse/Union européenne, Basilea 2008, pag. 438 e 470 e seg.; ANDREA PEDROLI, Lo scambio di informazioni fiscali (assistenza amministrativa e giudiziaria) negli Accordi bilaterali II, in</w:t>
      </w:r>
    </w:p>
    <w:p>
      <w:r>
        <w:t>- 9 -</w:t>
      </w:r>
    </w:p>
    <w:p>
      <w:r>
        <w:t>Accordi bilaterali Svizzera – Unione europea, Atti della giornata di studio del 4 giugno 2007, Commissione ticinese per la formazione permanente dei giuristi [CFPG], Collana rossa vol. 23, Basilea 2009, pag. 76-77).</w:t>
      </w:r>
    </w:p>
    <w:p>
      <w:r>
        <w:rPr>
          <w:b/>
        </w:rPr>
        <w:t>E. 3.3</w:t>
      </w:r>
    </w:p>
    <w:p>
      <w:r>
        <w:t>Come evidenziato in precedenza (v. supra consid. 2.2), la richiesta d'assi- stenza descrive i comportamenti delle diverse persone intervenute riferen- dosi peraltro a prove raccolte nel corso dell'inchiesta italiana. In diritto sviz- zero, tali azioni, la cui ampiezza è stata sufficientemente dimostrata dallo Stato richiedente, possono senz'altro essere qualificate di macchinazioni fraudolente destinate a truffare lo Stato che, indotto in errore mediante la presentazione, da parte di J. S.r.l., di una situazione finanziaria dissonante dalla realtà nonché di tre offerte non conformi alle disposizioni comunitarie, concede sussidi ingiustificati. In definitiva, i fatti descritti sono sussumibili al reato di truffa ai sensi dell'art. 146 CP, per cui la questione di sapere se gli atti descritti in rogatoria corrispondono o meno in Svizzera ai reati di truffa fiscale ai sensi dell'art. 14 DPA può restare indecisa, nella misura in cui nel campo della piccola assistenza le misure di cooperazione sono ammesse a condizione che la doppia punibilità sia data almeno per una fattispecie (sentenza del Tribunale federale 1C.138/2007 del 17 luglio 2007, con- sid. 2.3 e rinvii). Anche questa censura va dunque disattesa.</w:t>
      </w:r>
    </w:p>
    <w:p>
      <w:r>
        <w:rPr>
          <w:b/>
        </w:rPr>
        <w:t>E. 4</w:t>
      </w:r>
    </w:p>
    <w:p>
      <w:r>
        <w:t>Nell'ottica ricorsuale la decisione impugnata sarebbe inoltre in contrasto con il principio della proporzionalità, nella misura in cui la documentazione bancaria sarebbe irrilevante per il procedimento estero. L'autorità d'esecu- zione avrebbe addirittura ordinato la trasmissione di documenti neppure ri- chiesti, procedendo quindi ultra petita. In definitiva, ci si ritroverebbe dinan- zi ad un palese caso di fishing expedition.</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sia manifestamente disatteso (DTF 120 Ib 251 consid. 5c; sentenza del Tribunale penale fede- rale RR.2007.18 del 21 maggio 2007, consid. 6.3 non pubblicato in TPF 2007 57) o se la domanda appaia abusiva, le informazioni richieste essen- do del tutto inidonee a far progredire le indagini (DTF 122 II 134 consid. 7b; 121 II 241 consid. 3a). In base alla giurisprudenza l'esame va quindi limita-</w:t>
      </w:r>
    </w:p>
    <w:p>
      <w:r>
        <w:t>- 10 -</w:t>
      </w:r>
    </w:p>
    <w:p>
      <w:r>
        <w:t>to alla cosiddetta utilità potenziale, secondo cui la consegna giusta l'art. 74 AIMP è esclusa soltanto per quei mezzi di prova certamente privi di rile- vanza per il procedimento penale all'estero (DTF 126 II 258 consid. 9c pag. 264; 122 II 367 consid. 2c; 121 II 241 consid. 3a e b). Vietata in parti- colare è la cosiddetta fishing expedition, la quale è definita dalla giurispru- denza una ricerca generale ed indeterminata di mezzi di prova volta a fon- dare un sospetto senza che esistano pregressi elementi concreti a soste- gno dello stesso (DTF 125 II 65 consid. 6b/aa pag. 73 e rinvii). Questo ge- nere di inchieste non è consentito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4.2</w:t>
      </w:r>
    </w:p>
    <w:p>
      <w:r>
        <w:t>Il principio secondo il quale l'autorità rogata non deve agire "ultra petita", desumibile da quello della proporzionalità, vieta all'autorità richiesta di an- dare oltre i provvedimenti postulati dall'autorità richiedente (cosiddetto "Ue- bermassverbot", DTF 116 Ib 96 consid. 5b; 115 Ib 186 consid. 4 pag. 192 in fine, 373 consid. 7; sentenza del Tribunale federale 1A.258/2006 del 16 febbraio 2007, consid. 2.3). La susseguente giurisprudenza ha però so- stanzialmente attenuato la portata di questo principio, ritenendo che l'auto- rità richiesta può interpretare in maniera estensiva la domanda qualora sia accertato che, su questa base, tutte le condizioni per concedere l'assisten- za sono adempiute; tale modo di procedere può evitare in effetti la presen- tazione di un'eventuale richiesta complementare (DTF 121 II 241 consid. 3; PAOLO BERNASCONI, Rogatorie penali italo-svizzere, Milano 1997, pag. 186 e seg.).</w:t>
      </w:r>
    </w:p>
    <w:p>
      <w:r>
        <w:rPr>
          <w:b/>
        </w:rPr>
        <w:t>E. 4.3</w:t>
      </w:r>
    </w:p>
    <w:p>
      <w:r>
        <w:t>Nella fattispecie, l'utilità potenziale della documentazione di cui l'autorità rogata ha disposto la trasmissione è certamente data. Secondo la rogato- ria, nel periodo dal 3 settembre al 31 ottobre 2003, J. S.r.l. avrebbe invitato le tre società seguenti a presentare un'offerta di vendita relativo ad un im- pianto vinicolo: N. S.a.S. in scioglimento, con sede a Cotignola (Italia); O. S.p.A., con sede ad Altivole (Italia), società amministrata da F.; P. S.p.A. con sede a Caerano di San Marco (Italia), società anch'essa amministrata da F. (v. atto 1, allegato pag. 3 e segg., MP/TI). La vincitrice dell'appalto sa- rebbe risultata la N. S.a.S., il cui socio amministratore sarebbe D. Quest'ul- timo avrebbe dichiarato che la fornitura dell'impianto sarebbe stata effettua- ta totalmente dalla O. S.p.A. – società in cui egli avrebbe lavorato sia nel 2003 che durante la realizzazione dell'impianto –, la quale avrebbe realiz- zato l'intero progetto per conto di N. S.a.S. Presso quest'ultima società ri- sulterebbe contabilizzate due fatture: una datata 12 luglio 2004 dell'importo di EUR 94'456.- emessa dalla Q. S.r.l. a carico della N. S.a.S. e avente</w:t>
      </w:r>
    </w:p>
    <w:p>
      <w:r>
        <w:t>- 11 -</w:t>
      </w:r>
    </w:p>
    <w:p>
      <w:r>
        <w:t>quale oggetto una "Commission and consulting for Contract J. S.r.l. Focsa- ni Romania total amount EUR 94'456.-"; la seconda datata 23 giugno 2004 dell'importo di EUR 342'398.68 emessa da O. S.p.A. a carico di N. S.a.S., riferita alla fornitura parziale dell'impianto di vinificazione. La prima fattura è stata liquidata dalla N. S.a.S. mediante un ordine di pagamento datato 16 luglio 2004 sul conto oggetto della decisione impugnata. L'Ufficio Euro- peo per la Lotta Antifrode (OLAF) ha rilevato, invece, che agli organi rume- ni incaricati del pagamento sarebbe stata esibita la fattura datata 23 giugno 2004 dell'importo di EUR 436'855.50 emessa da O. S.p.A. a carico di N. S.a.S. Alla luce di quanto descritto, si desumerebbe che la fattura del 23 giugno 2004 di EUR 436'855.50 sarebbe stata emessa con importo su- periore rispetto a quelle trovate presso N. S.a.S. di EUR 342'398.68. La dif- ferenza degli importi summenzionati, ammontante ad EUR 94'456.82 corri- sponderebbe a quello della fattura datata 12 luglio 2004. L'OLAF ha inoltre stabilito che la Q. S.r.l. sarebbe agente per la Romania della O. S.p.A. Es- sendo il conto della ricorrente stato utilizzato da una società riconducibile all'indagato D. per saldare la fattura di EUR 94'456.-, l'utilità potenziale del- la documentazione di cui è stata ordinata la trasmissione è evidente. Per quanto concerne la documentazione bancaria, data la natura dei reati ipo- tizzati, essa risulta necessaria nella sua totalità. Essa comprende natural- mente tutte le rubriche e sottorubriche del conto. Giova infatti rilevare che, quando le autorità estere chiedono informazioni su conti bancari allo scopo di ricostruire il flusso di fondi di sospetta origine criminale, la natura stessa di dette inchieste rende verosimile la necessità di acquisire l'integralità della documentazione bancaria. Ciò perché gli inquirenti debbono poter indivi- duare il titolare giuridico ed economico del conto e sapere a quali persone sia pervenuto l'eventuale provento del reato. Al riguardo non è in linea di massima decisivo che le operazioni effettuate sui conti bancari siano avve- nute in un'epoca anteriore a quella dei prospettati reati, visto che è proprio con un'esplorazione diacronica delle movimentazioni che è possibile una ri- costruzione sufficientemente approfondita dei fatti. La trasmissione dell'in- tera documentazione potrà evitare altresì l'inoltro di eventuali domande complementari (DTF 121 II 241 consid. 3; sentenza del Tribunale federale 1C_486/2008 dell'11 novembre 2008, consid. 2.4). Si tratta di una maniera di procedere necessaria, se del caso, ad accertare anche l'estraneità del- l'interessata (DTF 129 II 462 consid. 5.5; sentenze del Tribunale federale 1A.182/2006 del 9 agosto 2007, consid. 2.3 e 3.2; 1A.52/2007 del 20 luglio 2007, consid. 2.1.3; 1A.227/2006 del 22 febbraio 2007, consid. 3.2; 1A.195/2005 del 1° settembre 2005 in fine; 1A.79/2005 del 27 aprile 2005, consid. 4.1). In definitiva, tenuto conto della cernita precisa e mirata effet- tuata dall'autorità di esecuzione nonché dell'iniziativa della stessa di co- munque oscurare i nominativi delle persone non coinvolte nel procedimento penale all'estero citate nella documentazione bancaria litigiosa – operazio- ne che nella sua materiale concretizzazione non necessita più della colla-</w:t>
      </w:r>
    </w:p>
    <w:p>
      <w:r>
        <w:t>- 12 -</w:t>
      </w:r>
    </w:p>
    <w:p>
      <w:r>
        <w:t>borazione dei ricorrenti –, non si può certo affermare che il principio della proporzionalità sia stato violato. La trasmissione di documentazione relativa a rubriche o sottorubriche del conto della ricorrente non può nemmeno es- sere interpretata come una misura che va al di là di quanto richiesto. Co- statata la sufficiente relazione tra le misure d'assistenza richieste e l'ogget- to del procedimento penale estero, spetterà al giudice estero del merito va- lutare se dalla documentazione sequestrata emerge una connessione pe- nalmente rilevante tra i fatti perseguiti all'estero e l'attività della A. SA. Ri- sulta comunque evidente che l'autorità rogante non si sta assolutamente muovendo a caso nella ricerca di materiale probatorio, soprattutto se, come nella fattispecie, con la domanda di assistenza essa sollecita l'invio di do- cumentazione concernente una società il cui conto bancario è stato utilizza- to da una società riconducibile ad un indagato all'estero per truffa. Visto tut- to quanto precede, vi è da concludere che la domanda di assistenza estera non costituisce una fishing expedition e la trasmissione della documenta- zione litigiosa non viola il principio della proporzionalità.</w:t>
      </w:r>
    </w:p>
    <w:p>
      <w:r>
        <w:rPr>
          <w:b/>
        </w:rPr>
        <w:t>E. 5</w:t>
      </w:r>
    </w:p>
    <w:p>
      <w:r>
        <w:t>Nel gravame viene altresì affermato che la rogatoria violerebbe il principio del ne bis in idem, ritenuto che le autorità rumene avrebbero già inquisito e giudicato delle persone in relazione alla stessa identica fattispecie, pronun- ciando una sentenza di assoluzione cresciuta in giudicato. Nonostante pre- cise richieste in tal senso, l'autorità di esecuzione, violando il diritto di esse- re sentito, non si sarebbe mossa per raccogliere informazioni presso le au- torità rumene circa i procedimenti colà svoltisi e conclusisi. Essa avrebbe perlomeno dovuto preannunciare il proprio rifiuto, affinché l'interessata po- tesse semmai attivarsi essa stessa per l'acquisizione di detta documenta- zione.</w:t>
      </w:r>
    </w:p>
    <w:p>
      <w:r>
        <w:rPr>
          <w:b/>
        </w:rPr>
        <w:t>E. 5.1</w:t>
      </w:r>
    </w:p>
    <w:p>
      <w:r>
        <w:t>L'art. 5 cpv. 1 lett. a n. 1 AIMP prevede che la domanda di assistenza è irricevibile se in Svizzera o nello Stato in cui il reato è stato commesso, il giudice ha pronunciato nel merito l'assoluzione o l'abbandono. Il Tribunale federale ha già avuto modo di affermare che il principio del ne bis in idem può essere invocato unicamente dalla persona perseguita dallo Stato ri- chiedente, all'esclusione di terzi toccati da misure rogatoriali (v. sentenza 1A.5/2007 del 25 gennaio 2008, consid. 2.4 e 3.5; ZIMMERMANN, op. cit., n. 662). Il ricorso, in quanto presentato nel solo interesse della legge o di terzi, è infatti inammissibile (DTF 126 II 258 consid. 2d e rinvii).</w:t>
      </w:r>
    </w:p>
    <w:p>
      <w:r>
        <w:rPr>
          <w:b/>
        </w:rPr>
        <w:t>E. 5.2</w:t>
      </w:r>
    </w:p>
    <w:p>
      <w:r>
        <w:t>Non essendo la ricorrente perseguita all'estero, le censure presentate in questo ambito sono chiaramente inammissibili. Esse sarebbero state co- munque da respingere, in quanto, come dichiarato dalla ricorrente stessa (v. act. 1 pag. 14), non tutti gli indagati sarebbero stati giudicati in Romania, ammesso che una sentenza cresciuta in giudicato già sia stata effettiva-</w:t>
      </w:r>
    </w:p>
    <w:p>
      <w:r>
        <w:t>- 13 -</w:t>
      </w:r>
    </w:p>
    <w:p>
      <w:r>
        <w:t>mente pronunciata in Romania, ciò che non è per nulla provato. Non sa- rebbe stato peraltro compito dell'autorità di esecuzione prendere l'iniziativa di contattare le autorità rumene per delucidare la situazione; tale verifica sarebbe infatti spettata unicamente all'autorità rogante (v. ZIMMERMANN, op. cit., n. 662 e giurisprudenza citata).</w:t>
      </w:r>
    </w:p>
    <w:p>
      <w:r>
        <w:rPr>
          <w:b/>
        </w:rPr>
        <w:t>E. 6</w:t>
      </w:r>
    </w:p>
    <w:p>
      <w:r>
        <w:t>La ricorrente sostiene che un altro motivo per rifiutare l'assistenza giudizia- ria sarebbe l'intervenuta prescrizione dei reati contestati in Italia. Così ar- gomentando, ella omette tuttavia di considerare che la risposta alla do- manda se l’azione penale sia estinta nello Stato rogante non incombe allo Stato rogato bensì alle competenti autorità del primo (sentenza 1A.153/2006 del 29 ottobre 2007, consid. 3.9; ZIMMERMANN, op. cit., n. 662). L'insorgente disattende altresì che, in base a consolidata giurispru- denza, nel quadro dell'assistenza giudiziaria internazionale regolata dalla CEAG, non occorre esaminare la questione della prescrizione, qualora si tratti, come in concreto, della trasmissione di mezzi di prova (v. art. 3 n. 1 CEAG). Infatti, diversamente dalla Convenzione europea di estradizione (v. art. 10 CEEstr; RS 0.353.1), la CEAG, che prevale sull’art. 5 cpv. 1 lett. c AIMP (v. supra consid. 1.2), non contiene disposizioni che escludono la concessione dell’assistenza per intervenuta prescrizione dell’azione pe- nale. Trattasi di silenzio qualificato e non di lacuna colmabile mediante in- terpretazione (DTF 118 Ib 266 consid. 4b/bb pag. 268; 117 Ib 53 consid. 3; sentenza del Tribunale federale 1A.227/2006 del 22 febbraio 2007, con- sid. 3.3). Per di più, la prescrizione può essere invocata dalla persona per- seguita, ma non da terzi, come la ricorrente, non tutelati da questa discipli- na (DTF 130 II 217 consid. 11.1 pag. 234; sentenza del Tribunale federale 1A.153/2006 del 29 ottobre 2007, consid. 3.9).</w:t>
      </w:r>
    </w:p>
    <w:p>
      <w:r>
        <w:rPr>
          <w:b/>
        </w:rPr>
        <w:t>E. 7</w:t>
      </w:r>
    </w:p>
    <w:p>
      <w:r>
        <w:t>A mente dell'insorgente, visto che i finanziamenti sarebbero stati concessi in Romania, a società rumene, le autorità giudiziarie italiane non sarebbero territorialmente competenti per giudicare i reati contestati agli indagati.</w:t>
      </w:r>
    </w:p>
    <w:p>
      <w:r>
        <w:rPr>
          <w:b/>
        </w:rPr>
        <w:t>E. 7.1</w:t>
      </w:r>
    </w:p>
    <w:p>
      <w:r>
        <w:t>Secondo l'art. 1 n. 1 CEAG, le Parti Contraenti si obbligano ad accordarsi reciprocamente, secondo le disposizioni della presente Convenzione, l'as- sistenza giudiziaria più ampia possibile in qualsiasi procedura concernente reati, la cui repressione, al momento in cui l'assistenza giudiziaria è do- mandata, è di competenza delle autorità giudiziarie della Parte richiedente. La Svizzera rifiuta di cooperare unicamente se la competenza delle autorità estere difetta in maniera chiara, a tal punto da far apparire abusiva la do- manda di assistenza (DTF 122 II 134 consid. 7b; 116 Ib 89 consid. 2c/aa; 113 Ib 157 consid. 4). Diversi sono i criteri che possono fondare la compe- tenza repressiva di uno Stato; fra questi figura anche il principio della per-</w:t>
      </w:r>
    </w:p>
    <w:p>
      <w:r>
        <w:t>- 14 -</w:t>
      </w:r>
    </w:p>
    <w:p>
      <w:r>
        <w:t>sonalità attiva, secondo il quale è applicabile la legge dello Stato dell'autore del reato (v. ZIMMERMANN, op. cit., n. 565; FRANCESCO ANTOLISEI, Manuale di diritto penale, Parte generale, 16a ediz., Milano 2003, pag. 128 e seg.).</w:t>
      </w:r>
    </w:p>
    <w:p>
      <w:r>
        <w:rPr>
          <w:b/>
        </w:rPr>
        <w:t>E. 7.2</w:t>
      </w:r>
    </w:p>
    <w:p>
      <w:r>
        <w:t>Nella fattispecie, essendo gli indagati di nazionalità italiana, la competenza delle autorità italiane non può essere considerata abusiva e comunque si evince dalla descrizione dei fatti che almeno in parte l'agire degli indagati è avvenuto in territorio italiano, ragione per cui la censura in questo ambito va respinta.</w:t>
      </w:r>
    </w:p>
    <w:p>
      <w:r>
        <w:rPr>
          <w:b/>
        </w:rPr>
        <w:t>E. 8</w:t>
      </w:r>
    </w:p>
    <w:p>
      <w:r>
        <w:t>Il legale della A. SA ritiene che i documenti sequestrati in occasione del- l'audizione testimoniale di L., nella misura in cui consegnatigli da quest'ul- timo, sarebbero coperti dal segreto professionale dell'avvocato. Essi non avrebbero potuto essere sequestrati, tanto meno potrebbero essere tra- smessi all'estero.</w:t>
      </w:r>
    </w:p>
    <w:p>
      <w:r>
        <w:rPr>
          <w:b/>
        </w:rPr>
        <w:t>E. 8.1</w:t>
      </w:r>
    </w:p>
    <w:p>
      <w:r>
        <w:t>Secondo l'art. 69 PP, applicabile in virtù del rinvio previsto all'art. 9 AIMP, se si tratta di perquisizioni di carte, si deve avere cura che il segreto di ca- rattere privato venga rispettato nella maggior misura possibile e che il se- greto professionale contemplato nell'art. 77 sia salvaguardato (cpv. 1). In particolar modo le carte non devono essere esaminate se non quando si possa supporre che contengano scritti importanti per l'istruzione (cpv. 2). Se possibile, il detentore delle carte deve essere messo in grado di indicar- ne il contenuto prima della perquisizione. Se egli si oppone alla perquisi- zione, le carte vengono suggellate e poste in luogo sicuro. In questo caso, la decisione sull'ammissibilità di essa spetta alla Corte dei reclami penali fi- no al dibattimento e al tribunale durante il dibattimento.</w:t>
      </w:r>
    </w:p>
    <w:p>
      <w:r>
        <w:t>Il segreto professionale è opponibile unicamente al sequestro di documenti legati all’attività tipica dell’avvocato ai sensi dell’art. 321 CP (v. anche art.</w:t>
      </w:r>
    </w:p>
    <w:p>
      <w:r>
        <w:rPr>
          <w:b/>
        </w:rPr>
        <w:t>E. 8.2</w:t>
      </w:r>
    </w:p>
    <w:p>
      <w:r>
        <w:t>In concreto, dal verbale d'interrogatorio di L. nonché dall'ordine di seque- stro emanato dall'autorità d'esecuzione del 3 giugno 2009 emerge che de- tentore della documentazione al momento dell'attuazione della misura co-</w:t>
      </w:r>
    </w:p>
    <w:p>
      <w:r>
        <w:t>- 15 -</w:t>
      </w:r>
    </w:p>
    <w:p>
      <w:r>
        <w:t>ercitiva era L. e non il suo legale, avv. Nadir Guglielmoni (v. atto 13 MP/TI). Non potendo quest'ultimo invocare il segreto professionale per documenti di cui non era manifestamente detentore, la censura va chiaramente re- spinta. Del resto, se l'avv. Guglielmoni fosse stato realmente il detentore delle carte oggetto del provvedimento, egli avrebbe dovuto immediatamen- te, al momento del sequestro, avvalersi del suo segreto professionale e chiedere la messa sotto sigilli della documentazione, ciò che non è avvenu- to.</w:t>
      </w:r>
    </w:p>
    <w:p>
      <w:r>
        <w:t>9. Ne consegue che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6'000.-, di cui fr. 5'000.- a carico della società ricorrente e fr. 1'000.- a carico dell'avv. Guglielmoni in quanto ricorrente autonomo.</w:t>
      </w:r>
    </w:p>
    <w:p>
      <w:r>
        <w:t>- 16 -</w:t>
      </w:r>
    </w:p>
    <w:p>
      <w:r>
        <w:t>Per questi motivi, la II Corte dei reclami penali pronuncia:</w:t>
      </w:r>
    </w:p>
    <w:p>
      <w:r>
        <w:rPr>
          <w:b/>
        </w:rPr>
        <w:t>E. 13</w:t>
      </w:r>
    </w:p>
    <w:p>
      <w:r>
        <w:t>della legge sulla libera circolazione degli avvocati, LLCA; RS 935.61). L’attività tipica dell’avvocato consiste essenzialmente nel fornire consigli di natura giuridica, nel difendere gli interessi altrui intervenendo davanti ai tri- bunali e rappresentando i clienti nel medesimo contesto (BERNARD CORBOZ, Les infractions en droit suisse, Berna 2002, vol. II, n° 10 ad art. 321 CP; dello stesso autore, Le secret professionnel de l’avocat selon l’art. 321 CP, in SJ 1993 pag. 77 e segg., in particolare pag. 82; PATRICK STOUDMANN, Le secret professionel de l'avocat: jurisprudence récente et perspectives, in RPS 126/2008 pag.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