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RR.2009.314 vom 2. November 2009</w:t>
      </w:r>
    </w:p>
    <w:p>
      <w:r>
        <w:t>Bundesstrafgericht, 2009-11-02, FR</w:t>
      </w:r>
    </w:p>
    <w:p>
      <w:r>
        <w:rPr>
          <w:b/>
        </w:rPr>
        <w:t xml:space="preserve">Quelle: </w:t>
      </w:r>
      <w:r>
        <w:t>https://mcp.opencaselaw.ch/entscheid/bstger_RR.2009.314</w:t>
      </w:r>
    </w:p>
    <w:p>
      <w:r>
        <w:t>FR: TPF RR.2009.314 du 2 novembre 2009</w:t>
      </w:r>
    </w:p>
    <w:p>
      <w:r>
        <w:t>IT: TPF RR.2009.314 del 2 novembre 2009</w:t>
      </w:r>
    </w:p>
    <w:p>
      <w:pPr>
        <w:pStyle w:val="Heading2"/>
      </w:pPr>
      <w:r>
        <w:t>Regeste</w:t>
      </w:r>
    </w:p>
    <w:p>
      <w:r>
        <w:t>Extradition à la République française. Mandat d'arrêt en vue d'extradition (art. 47 ss EIMP).</w:t>
      </w:r>
    </w:p>
    <w:p>
      <w:pPr>
        <w:pStyle w:val="Heading2"/>
      </w:pPr>
      <w:r>
        <w:t>Erwägungen</w:t>
      </w:r>
    </w:p>
    <w:p>
      <w:r>
        <w:rPr>
          <w:b/>
        </w:rPr>
        <w:t>E. 48</w:t>
      </w:r>
    </w:p>
    <w:p>
      <w:r>
        <w:t>al. 2 EIMP), le recours est formellement recevable;</w:t>
      </w:r>
    </w:p>
    <w:p>
      <w:r>
        <w:t>il convient de prendre acte du retrait du recours et de rayer la cause du rôle;</w:t>
      </w:r>
    </w:p>
    <w:p>
      <w:r>
        <w:t>selon la jurisprudence rendue sous l’empire de l’ancienne Loi fédérale d’organisation judiciaire (OJ), l’art. 72 de la Loi fédérale sur la procédure civile fédérale (PCF; RS 273) s’appliquait aux recours de droit administratif par ren- voi de l’art. 40 OJ (arrêt du Tribunal fédéral 1A.223/1999 du 28 février 2000, consid. 1c);</w:t>
      </w:r>
    </w:p>
    <w:p>
      <w:r>
        <w:t>suite à l’abrogation de l’OJ et en l’absence d’une disposition générale de ren- voi analogue à l’art. 40 de cette loi dans la Loi fédérale sur la procédure admi- nistrative (PA; RS 172.021) ou dans la Loi sur le Tribunal fédéral (LTF; RS 173.110), il se justifie d’appliquer par analogie l’art. 72 PCF en procédure ad- ministrative fédérale (sur la possibilité de combler les lacunes de la procédure administrative par la voie de la procédure civile fédérale, voir, notamment à la lumière de l’art. 4 PA, ALFRED KÖLZ / ISABELLE HÄNER, Verwaltungsverfahren und Verwaltungsrechtspflege des Bundes, 2e éd., Zurich 1998, N. 220);</w:t>
      </w:r>
    </w:p>
    <w:p>
      <w:r>
        <w:t>à teneur de cette disposition,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 choses existant avant le fait qui a mis fin au litige (arrêt du Tribunal fédéral 1S.15/2005 du 24 mai 2005, consid. 2.2);</w:t>
      </w:r>
    </w:p>
    <w:p>
      <w:r>
        <w:t>il n’y a donc pas lieu d’examiner en détail quelle eût été normalement l’issue du procès, et il convient de procéder simplement à une appréciation sommaire de la situation au vu du dossier, la décision sur les frais n’équivalant pas à un jugement matériel et ne devant, selon les circonstances, pas disposer d’autres questions juridiques (arrêt du Tribunal pénal fédéral RR.2007.91 du 4 sep- tembre 2007);</w:t>
      </w:r>
    </w:p>
    <w:p>
      <w:r>
        <w:t>- 4 -</w:t>
      </w:r>
    </w:p>
    <w:p>
      <w:r>
        <w:t>en l’occurrence, le recourant, âgé de 71 ans, est suivi médicalement pour une cardiopathie consécutive à une nécrose myocardique survenue en 1999, ainsi que pour un cancer opéré en 2005; son état de santé nécessite un traitement ainsi qu’une surveillance médicale stricte et suivie (act. 2.2); il affirme avoir ré- sidé «régulièrement» en Suisse depuis 1984 et s’y être établi en 2004 avec son épouse, qui bénéficie comme lui d’un permis C; il indique avoir, depuis de nombreuses années, construit sa vie et ses relations personnelles sur le terri- toire helvétique, et ne disposer d’aucun lien ou attache particulier dans un au- tre Etat, à l’exception de la France;</w:t>
      </w:r>
    </w:p>
    <w:p>
      <w:r>
        <w:t>l’extradition du recourant est demandée pour l’exécution d’une peine privative de liberté de 5 mois; celui-ci se déclare d’autant moins disposé à fuir le terri- toire suisse qu’il pourra probablement bénéficier de mesures d’exécution facili- tée ainsi que, vraisemblablement, de mesures d’exécution alternatives;</w:t>
      </w:r>
    </w:p>
    <w:p>
      <w:r>
        <w:t>le recourant estime que le risque de fuite pourrait à tout le moins être paré par des mesures moins contraignantes que la détention;</w:t>
      </w:r>
    </w:p>
    <w:p>
      <w:r>
        <w:t>en l’occurrence, rien n’indique prima facie que la détention extraditionnelle aurait dû être levée et le recours admis; en matière extraditionnelle, la déten- tion est en effet la règle et la mise en liberté demeure l’exception, la mise en liberté provisoire étant au demeurant soumise à des exigences plus strictes en matière de détention en vue d’extradition que de détention préventive;</w:t>
      </w:r>
    </w:p>
    <w:p>
      <w:r>
        <w:t>le jour même où il a été informé, à réception d’une copie du recours, de la si- tuation personnelle du recourant, l’OFJ a sollicité son consentement à sa mise en liberté provisoire, moyennant le dépôt d’une caution de CHF 5'000.-- et de ses documents d’identité, ainsi que l’engagement à se présenter toutes les deux semaines au poste de police le plus proche (act. 4.1);</w:t>
      </w:r>
    </w:p>
    <w:p>
      <w:r>
        <w:t>compte tenu de l’ensemble des conditions particulières du cas d’espèce, et vu qu’une fois en possession des éléments précités, l’OFJ a procédé à la pesée des intérêts sous l’angle du principe de la proportionnalité et a décidé l’aménagement de mesures substitutives à la détention extraditionnelle, il se justifie de rendre le présent arrêt sans frais (art. 63 PA);</w:t>
      </w:r>
    </w:p>
    <w:p>
      <w:r>
        <w:t>la partie ayant entièrement ou partiellement gain de cause a en principe droit à une indemnité pour les frais indispensables et relativement élevés qui lui ont été occasionnés (art. 64 al. 1 PA);</w:t>
      </w:r>
    </w:p>
    <w:p>
      <w:r>
        <w:t>- 5 -</w:t>
      </w:r>
    </w:p>
    <w:p>
      <w:r>
        <w:t>en l’occurrence, après le dépôt du recours, le recourant a été remis en liberté moyennant diverses mesures substitutives à la détention, conformément à ses seules conclusions subsidiaires;</w:t>
      </w:r>
    </w:p>
    <w:p>
      <w:r>
        <w:t>le recourant concluait principalement à l’annulation du mandat d’arrêt du 30 septembre 2009, arguant que les conditions posées à l’arrestation extradition- nelle n’étaient pas remplies en l’espèce;</w:t>
      </w:r>
    </w:p>
    <w:p>
      <w:r>
        <w:t>la décision par laquelle l’OFJ a décidé de renoncer à la détention du recourant durant la procédure d’extradition, moyennant la mise en œuvre de diverses mesures substitutives à la détention, ne fait donc que très partiellement droit aux conclusions présentées à l’appui du recours du 9 octobre 2009;</w:t>
      </w:r>
    </w:p>
    <w:p>
      <w:r>
        <w:t>de plus, pour les raisons évoquées plus haut, rien n’indique à première vue que le recours aurait dû être admis;</w:t>
      </w:r>
    </w:p>
    <w:p>
      <w:r>
        <w:t>le recourant avait enfin la faculté d’exposer les éléments de fait relatifs à sa si- tuation personnelle (état de santé, liens avec la Suisse, etc.) directement à l’OFJ, à l’appui d’une demande de libération moyennant la mise en œuvre de mesures substitutives à la détention, plutôt que de faire valoir ces éléments à titre subsidiaire dans le cadre d’un recours dirigé contre le mandat d’arrêt ex- traditionnel;</w:t>
      </w:r>
    </w:p>
    <w:p>
      <w:r>
        <w:t>le recours du 9 octobre 2009 n’était partant pas une mesure «indispensa- ble» au sens de l’art. 64 al. 1 PA;</w:t>
      </w:r>
    </w:p>
    <w:p>
      <w:r>
        <w:t>vu l’ensemble de ces éléments, il ne se justifie pas en l’espèce d’allouer de dépens au recourant.</w:t>
      </w:r>
    </w:p>
    <w:p>
      <w:r>
        <w:t>- 6 -</w:t>
      </w:r>
    </w:p>
    <w:p>
      <w:r>
        <w:t>Par ces motifs, la IIe Cour des plaintes prononce:</w:t>
      </w:r>
    </w:p>
    <w:p>
      <w:r>
        <w:t>1. Vu le retrait du recours, la cause est rayée du rôle.</w:t>
      </w:r>
    </w:p>
    <w:p>
      <w:r>
        <w:t>2. Le présent arrêt est rendu sans frais.</w:t>
      </w:r>
    </w:p>
    <w:p>
      <w:r>
        <w:t>3. Il n’est pas alloué de dépens.</w:t>
      </w:r>
    </w:p>
    <w:p>
      <w:r>
        <w:t>Bellinzone, le 2 novembre 2009</w:t>
      </w:r>
    </w:p>
    <w:p>
      <w:r>
        <w:t>Au nom de la IIe Cour des plaintes du Tribunal pénal fédéral</w:t>
      </w:r>
    </w:p>
    <w:p>
      <w:r>
        <w:t>La présidente:</w:t>
      </w:r>
    </w:p>
    <w:p>
      <w:r>
        <w:t>Le greffier:</w:t>
      </w:r>
    </w:p>
    <w:p>
      <w:r>
        <w:t>Distribution</w:t>
      </w:r>
    </w:p>
    <w:p>
      <w:r>
        <w:t>- Me Jean-Marc Carnicé, avocat, - Office fédéral de la justice, Unité extraditions,</w:t>
      </w:r>
    </w:p>
    <w:p>
      <w:r>
        <w:t>- 7 -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