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RR.2009.301 vom 9. April 2010</w:t>
      </w:r>
    </w:p>
    <w:p>
      <w:r>
        <w:t>Bundesstrafgericht, 2010-04-09, DE</w:t>
      </w:r>
    </w:p>
    <w:p>
      <w:r>
        <w:rPr>
          <w:b/>
        </w:rPr>
        <w:t xml:space="preserve">Quelle: </w:t>
      </w:r>
      <w:r>
        <w:t>https://mcp.opencaselaw.ch/entscheid/bstger_RR.2009.301</w:t>
      </w:r>
    </w:p>
    <w:p>
      <w:r>
        <w:t>FR: TPF RR.2009.301 du 9 avril 2010</w:t>
      </w:r>
    </w:p>
    <w:p>
      <w:r>
        <w:t>IT: TPF RR.2009.301 del 9 aprile 2010</w:t>
      </w:r>
    </w:p>
    <w:p>
      <w:pPr>
        <w:pStyle w:val="Heading2"/>
      </w:pPr>
      <w:r>
        <w:t>Regeste</w:t>
      </w:r>
    </w:p>
    <w:p>
      <w:r>
        <w:t>Internationale Rechtshilfe in Strafsachen an die Republik Korea. Herausgabe von Beweismitteln (Art. 74 IRSG).</w:t>
      </w:r>
    </w:p>
    <w:p>
      <w:pPr>
        <w:pStyle w:val="Heading2"/>
      </w:pPr>
      <w:r>
        <w:t>Erwägungen</w:t>
      </w:r>
    </w:p>
    <w:p>
      <w:r>
        <w:rPr>
          <w:b/>
        </w:rPr>
        <w:t>E. 10</w:t>
      </w:r>
    </w:p>
    <w:p>
      <w:r>
        <w:t>Juli 2008 steht der Beschwerdeführer 1 unter Verdacht, Geldwäscherei begangen zu haben, indem er die von G. unterschlagenen Gelder auf das Konto der Beschwerdeführerin 2 bei der Bank K. in Hong Kong überwies und sie später für den Erwerb der Wandelanleihe der L. Corporation durch die Beschwerdeführerin 3 verwendete (act. 1.8 S. 3 sowie act. 1.9 S. 3). Im Rechtshilfeersuchen vom 2. September 2008 wird zwar die Geldwäscherei nicht mehr explizit erwähnt, doch kann daraus entgegen den Beschwerde- führern nicht geschlossen werden, dass die ersuchende Behörde den Vor- wurf, der Beschwerdeführer 1 habe geldwäschereirelevante Handlungen begangen, fallengelassen hat. Gegenteils wird in dieser Eingabe dem Be- schwerdeführer 1 zur Last gelegt, das durch den Verkauf des Teils der zu- vor gekauften Aktien der L. Corporation erworbene Kapital im Ausland ver- steckt zu haben (act. 1.12 S. 3). Nicht zuletzt legen auch die in den Rechtshilfeersuchen detailliert dargelegten Umstände um die Durchführung der fraglichen Transaktionen, nämlich die Überweisung der betreffenden Finanzmittel in mehreren Tranchen und über verschiedene, teilweise aus- ländische Bankverbindungen auf eine dem Beschwerdeführer 1 zuzurech- nende, von Hong Kong aus operierende Strohgesellschaft, und das damit verbundene – geldwäschereirelevante – Schaffen von örtlicher, persönli- cher und teilweise auch sachlicher Distanz sowie die Höhe der involvierten Beträge den Verdacht nahe, dass der Beschwerdeführer 1 um die delikti- sche Herkunft der fraglichen Vermögenswerte gewusst hatte oder dies zu- mindest hätte annehmen müssen. Die dem Beschwerdeführer 1 im Zu- sammenhang mit dem ersten sowie auch dem zweiten Sachverhaltskom- plexen vorgeworfenen Handlungen waren sodann geeignet, die Ermittlung</w:t>
      </w:r>
    </w:p>
    <w:p>
      <w:r>
        <w:t>- 9 -</w:t>
      </w:r>
    </w:p>
    <w:p>
      <w:r>
        <w:t>der Herkunft, die Auffindung bzw. die Einziehung von Vermögenswerten zu vereiteln. Die im Rechtshilfeersuchen dargelegten Finanzoperationen – die Überweisungen hoher Beträge über Konten mehrerer dem Beschwerdefüh- rer 1 zuzurechnenden Strohgesellschaften in verschiedenen Staaten – können ohne Weiteres als geldwäschereiverdächtig angesehen werden. Im Rechtshilfeersuchen vom 2. September 2008 wird auch ausdrücklich dar- auf hingewiesen, dass die vom Beschwerdeführer 1 veranlasste Ausgabe der Wandelanleihe der L. Corporation der Vereitelung der Herausgabe der von ihm mit den von G. erhaltenen Mitteln erworbenen Mehrheitsbeteili- gung an der L. Corporation an die Kreditgeberin der H.-Gruppe dienen soll- te (act. 1.12 S. 4 f.). Die diesbezüglichen Einwendungen der Beschwerdeführer vermögen an dieser Qualifikation nichts zu ändern. Zwar ist den von den Beschwerdefüh- rern ins Recht gelegten Entscheiden des Seoul Central District Court vom 22. Januar 2009 (act. 1.14 sowie act. 1.14.1) und des Seoul High Court vom 17. Juni 2009 (act. 1.15, act. 1.15.1 sowie act. 4.2), mit denen die Ge- genstand des Rechtshilfeersuchens bildenden Sachverhalte mittlerweile in zweiter Instanz beurteilt worden sein sollen, nicht zu entnehmen, dass der Beschwerdeführer wegen Geldwäscherei verfolgt wird. Indessen ist dies für die Prüfung der Rechtshilfevoraussetzungen unter dem Aspekt der doppel- ten Strafbarkeit nicht entscheidend, brauchen doch, wie dargelegt, die Strafnormen nach den Rechtssystemen der Schweiz und des ersuchenden Staates nicht identisch zu sein. Es genügt vielmehr, dass die Handlungen nach der Sachverhaltsdarstellung im Rechtshilfeersuchen unter die Tatbe- standsmerkmale einer schweizerischen Strafnorm subsumiert werden kön- nen, was vorliegend für den Tatbestand der Geldwäscherei im Sinne des Art. 305bis StGB zutrifft. Ob weitere Tatbestände ebenfalls erfüllt sind, muss mithin nicht weiter geprüft werden. 3.4 Der im Rechtshilfeersuchen dargestellte Sachverhaltkomplex „vermittleri- sche Vorteilsannahme“ ist demnach genügend konkret dargestellt, um eine Subsumtion unter einen schweizerischen Tatbestand vornehmen zu kön- nen. Zudem enthält er auch keine offensichtlichen Fehler, Lücken oder Wi- dersprüche. Insgesamt erfüllt er daher die Anforderungen von Art. 28 Abs. 3 lit. a IRSG. Die diesbezügliche Rüge der Beschwerdeführer ist un- begründet. 4.</w:t>
      </w:r>
    </w:p>
    <w:p>
      <w:r>
        <w:t>4.1 Die Beschwerdeführer rügen weiter, dass die Darstellung des Sachver- haltskomplexes „L. Corporation-Wandelanleihe“ im Rechtshilfeersuchen of- fenkundig falsch sei. Sie legen die erwähnten Urteile der koreanischen Ge- richte ins Recht, worin erkannt wird, dass der Ausgabepreis für die fragliche</w:t>
      </w:r>
    </w:p>
    <w:p>
      <w:r>
        <w:t>- 10 -</w:t>
      </w:r>
    </w:p>
    <w:p>
      <w:r>
        <w:t>Wandelanleihe von den zuständigen Organen der L. Corporation korrekt festgelegt worden und der L. Corporation durch deren Verkauf kein Vermö- gensschaden erwachsen sei. Damit sei der im Rechtshilfeersuchen gegen- über dem Beschwerdeführer 1 erhobene Vorwurf der Untreue nach korea- nischem Strafrecht entkräftet und die Subsumtion der entsprechenden Handlungen unter die Tatbestände der ungetreuen Geschäftsbesorgung gemäss Art. 158 StGB bzw. der Veruntreuung gemäss Art. 138 StGB aus- geschlossen, weshalb die Rechtshilfe im Zusammenhang mit dem Sach- verhaltskomplex „L. Corporation-Wandelanleihe“ nicht zu leisten sei (act. 1 S. 15 f. Ziff. 33 ff. sowie act. 13 S. 7 ff. Ziff. 13 ff.). 4.2 Aus dem Rechtshilfeersuchen ergibt sich, dass der Beschwerdeführer 1 den Erwerb der fraglichen Wandelanleihe, deren Ausgabe er zum Zweck der Vereitelung der Herausgabe der Mehrheitsbeteiligung an der L. Corpo- ration an die N. Corporation veranlasst hätte, mit Mitteln finanziert haben soll, deren deliktischer Ursprung ihm bekannt war oder von ihm zumindest hätte angenommen werden müssen. Es handelt sich hierbei um die von der L. Corporation geleistete Kaution für die Miete des Gebäudes, das der Be- schwerdeführer 1 über die Beschwerdeführerin 2 mit einem Teil des Geldes – bzw. Surrogaten davon – erworben hatte, welches von G. zum Nachteil der I. Corporation unterschlagen und dem Beschwerdeführer 1 zur Verfü- gung gestellt worden sein soll. Damit erfüllt das dem Beschwerdeführer 1 im Zusammenhang mit dem Sachverhaltskomplex „L. Corporation- Wandelanleihe“ zur Last gelegte Verhalten, unabhängig davon, ob der Ausgabepreis der L. Corporation-Wandelanleihe zu tief angesetzt worden ist oder nicht, prima facie den Tatbestand der Geldwäscherei im Sinne des Art. 305bis StGB. Die diesbezügliche Rüge der Beschwerdeführer braucht daher nicht weiter geprüft zu werden. 5.</w:t>
      </w:r>
    </w:p>
    <w:p>
      <w:r>
        <w:t>5.1 Zur Begründung ihrer Beschwerde rufen die Beschwerdeführer schliesslich das Prinzip der Verhältnismässigkeit an. Im Einzelnen machen sie geltend, dass die Übermittlung der in der Schweiz erhobenen Beweismitteln nicht geeignet sei, das koreanische Verfahren zu fördern. Sämtliche Sachver- haltskomplexe seien durch die koreanischen Behörden abschliessend er- mittelt und nunmehr bereits zweitinstanzlich durch die zuständigen Gerichte beurteilt worden. Sodann sei der Sachverhalt im Zusammenhang mit dem Vorwurf der Kursmanipulation, soweit den objektiven Tatbestand betref- fend, von den Beschuldigten eingestanden worden. Überdies dokumentier- ten die zur Übermittlung vorgesehenen Akten zu wesentlichen Teilen, so- gar überwiegend, Transaktionen, die nichts mit den Käufen und Verkäufen der Q. Corporation-Aktien zu tun haben. Die Beschwerdegegnerin habe es versäumt, die ihr obliegende Aktentriage durchzuführen. Schliesslich sei</w:t>
      </w:r>
    </w:p>
    <w:p>
      <w:r>
        <w:t>- 11 -</w:t>
      </w:r>
    </w:p>
    <w:p>
      <w:r>
        <w:t>die Herausgabe der Unterlagen, welche die auf den Namen des Beschwer- deführers 1 lautende Bankverbindung betreffen, von den koreanischen Be- hörden nicht ersucht worden, so dass deren Übermittlung gegen das Übermassverbot verstosse (act. 1 S. 16 ff. Ziff. 39 ff. sowie act. 13 S. 11 ff. Ziff. 25 ff.). 5.2 Rechtshilfemassnahmen haben dem Prinzip der Verhältnismässigkeit zu genügen (ZIMMERMANN, a.a.O., S. 669 ff. N 715 ff. mit Verweisen auf die Rechtsprechung). Die akzessorische Rechtshilfe ist nur zulässig, soweit sie für ein Verfahren in strafrechtlichen Angelegenheiten im Ausland erforder- lich erscheint oder dem Beibringen der Beute dient (Art. 63 Abs. 1 IRSG). Ob die verlangten Auskünfte für das Strafverfahren im ersuchenden Staat nötig oder nützlich sind, ist eine Frage, deren Beantwortung grundsätzlich dem Ermessen der Behörden dieses Staates anheimgestellt ist. Da der er- suchte Staat im Allgemeinen nicht über die Mittel verfügt, die es ihm erlau- ben würden, sich über die Zweckmässigkeit bestimmter Beweise im aus- ländischen Verfahren auszusprechen, hat er insoweit die Würdigung der mit der Untersuchung befassten Behörde nicht durch seine eigene zu er- setzen. Die internationale Zusammenarbeit kann nur abgelehnt werden, wenn die verlangten Unterlagen mit der verfolgten Straftat keinen Zusam- menhang haben und offensichtlich ungeeignet sind, die Untersuchung vo- ranzutreiben, so dass das Ersuchen als Vorwand für eine unbestimmte Su- che nach Beweismitteln (“fishing expedition“) erscheint (Urteile des Bun- desgerichts 1A.234/2005 vom 31. Januar 2006, E. 3.2; 1A.182/2001 vom 26. März 2002, E. 4.2, je m.w.H.). Massgeblich ist die potentielle Erheblich- keit der beschlagnahmten Aktenstücke: Den ausländischen Strafverfol- gungsbehörden sind alle diejenigen Aktenstücke zu übermitteln, die sich auf den im Rechtshilfeersuchen dargelegten Sachverhalt beziehen können; nicht zu übermitteln sind nur diejenigen Akten, die für das ausländische Strafverfahren mit Sicherheit nicht erheblich sind (BGE 122 II 367 E. 2c S. 371). Nicht zulässig ist es demgegenüber, den ausländischen Behörden nur diejenigen Unterlagen zu überlassen, die den im Rechtshilfeersuchen festgestellten Sachverhalt mit Sicherheit beweisen. Den ausländischen Strafverfolgungsbehörden obliegt es dann, aus den möglicherweise erheb- lichen Akten diejenigen auszuscheiden, welche die den Beschuldigten vor- geworfenen Taten beweisen (BGE 122 II 367 E. 2c S. 371; Urteile des Bundesgerichts 1A.7/2007 vom 3. Juli 2007, E. 7.2; 1A.115/2000 vom 16. Juni 2000, E. 2a). Der Grundsatz der Verhältnismässigkeit verbietet es der ersuchten Behör- de, über das an sie gerichtete Ersuchen hinauszugehen und dem ersu- chenden Staat mehr zu gewähren als er verlangt hat (Übermassverbot; BGE 115 Ib 186, E. 4 S. 192 mit Hinweisen). Um festzustellen, ob der er-</w:t>
      </w:r>
    </w:p>
    <w:p>
      <w:r>
        <w:t>- 12 -</w:t>
      </w:r>
    </w:p>
    <w:p>
      <w:r>
        <w:t>suchende Staat eine bestimmte Massnahme verlangt hat, muss die ersuch- te Behörde das Rechtshilfeersuchen nach dem Sinn auslegen, der ihm vernünftigerweise zukommt. Dabei spricht nichts gegen eine weite Ausle- gung, soweit erstellt ist, dass auf dieser Grundlage alle Voraussetzungen für die Gewährung der Rechtshilfe erfüllt sind. Dieses Vorgehen vermeidet auch ein allfälliges Nachtragsersuchen (BGE 121 II 241 E. 3a S. 243; Urtei- le des Bundesgerichts 1A.227/2006 vom 22. Februar 2007, E. 2.5; 1A.303/2004 vom 29. März 2005, E. 4.2; Entscheid des Bundesstrafge- richts RR.2007.89 vom 20. August 2007, E. 4.1 m.w.H.). Bei Ersuchen um Kontenerhebungen sind nach der Praxis des Bundesgerichts grundsätzlich alle sichergestellten Aktenstücke zu übermitteln, welche sich auf den im Ersuchen dargelegten Verdacht beziehen können. Erforderlich ist mithin, dass ein ausreichender sachlicher Konnex zwischen dem untersuchten Sachverhalt und den fraglichen Dokumenten erstellt ist (BGE 129 II 462 E. 5.3 S. 468 mit Hinweisen). Zielt das Rechtshilfeersuchen auf die Ermitt- lung ab, auf welchem Weg Geldmittel strafbarer Herkunft verschoben wor- den sind, so sind die Behörden des ersuchenden Staates grundsätzlich über alle Transaktionen zu informieren, die von Gesellschaften und über Konten getätigt worden sind, welche in die Angelegenheit verwickelt sind (Urteil des Bundesgerichts 1A.79/2005 vom 27. April 2005, E. 4.1; Ent- scheid des Bundesstrafgerichts RR.2007.89 vom 20. August 2007, E. 4.1, je m.w.H.). 5.3 Entgegen dem Vorbringen der Beschwerdeführer hindert die Tatsache, dass die im Rechtshilfeersuchen dargestellten Sachverhaltskomplexe durch die zuständigen Gerichte bereits zweitinstanzlich beurteilt worden sind, die Gewährung der Rechtshilfe nicht. Es ist nicht die Sache der Rechtshilfebehörde, die im ersuchenden Staat nach der Übermittlung des Rechtshilfeersuchens ergangenen Entscheide zu interpretieren. Solange die ersuchende Behörde an ihrem Rechtshilfeersuchen festhält und keinen Rückzug erklärt, ist auf dieser Grundlage Rechtshilfe zu leisten (Urteil des Bundesgerichts 1A.218/2003 vom 17. Dezember 2003, E. 3.5; Entscheide des Bundesstrafgerichts RR.2009.195 vom 7. Januar 2010, E. 4.2; RR.2007.33 vom 12. März 2007, E. 4). Ebenso wenig steht der Gewährung der Rechtshilfe die Tatsache entgegen, dass der inkriminierte Sachverhalt im ausländischen Strafverfahren eingestanden worden ist (ZIMMERMANN, a.a.O., S. 676 N 722 mit Verweisen auf die Rechtsprechung). Die Beschwerdegegnerin hat zu Recht das Vorliegen eines ausreichenden Zusammenhanges zwischen den im Rahmen des eigenen Ermittlungsver- fahrens erhobenen Bankunterlagen, einschliesslich der den Beschwerde- führer 1 betreffenden Akten, und dem koreanischen Strafverfahren ange- nommen. Die zur Übermittlung vorgesehenen Unterlagen betreffen alle-</w:t>
      </w:r>
    </w:p>
    <w:p>
      <w:r>
        <w:t>- 13 -</w:t>
      </w:r>
    </w:p>
    <w:p>
      <w:r>
        <w:t>samt Konten von Personen, die in die im Rechtshilfeersuchen geschilder- ten Vorgänge verwickelt sind. Aus den vorliegenden Unterlagen ergibt sich zunächst, dass die Beschwer- deführerin 2 seit Herbst 2004 bei der Bank M. eine Kontobeziehung unter- halten hat, auf die im Dezember 2005 ein Betreffnis von USD 13.6 Mio. einging. Dieses wurde Anfang März 2006 zumindest teilweise zum Kauf der Convertible Bonds der L. Corporation verwendet. Die dergestalt erworbe- nen Effekten wurden Ende März 2007 auf die Anfang März 2007 eröffnete Beziehung, lautend auf die Beschwerdeführerin 2, bei der Bank O. AG übertragen und am 9. November 2007 auf die ebenfalls Anfang März 2007 bei derselben Bank eröffnete Beziehung, lautend auf die Beschwerdeführe- rin 3, weiter transferiert, über welche sie schliesslich per 21. November 2007 in Aktien gewandelt wurden. Sodann ist erstellt, dass die von der er- suchenden Behörde genannten weiteren Bankverbindungen der dem Be- schwerdeführer 1 zuzurechnenden Gesellschaften (Beschwerdeführerinnen 3-6) bei der Bank M. und der Bank O. AG bestehen bzw. bis zur Saldierung im Verlauf des Jahres 2007 bestanden haben. Über diese Gesellschaften sind in den Jahren 2006/2007 nachweislich Transaktionen im Zusammen- hang mit der dem Beschwerdeführer 1 zur Last gelegten Kursmanipulation abgewickelt worden. Die zur Herausgabe an die Republik Korea vorgese- henen Unterlagen betreffend Bankverbindungen der Beschwerdeführerin- nen 2-6 stehen damit sowohl einzeln als auch im Gesamtzusammenhang in einem ausreichenden sachlichen und zeitlichen Zusammenhang mit dem im Rechtshilfeersuchen dargelegten Sachverhalt und sind folglich für das koreanische Strafverfahren potentiell erheblich. Was die Unterlagen betreffend die auf den Namen des Beschwerdeführers 1 lautende Bankverbindung anbetrifft, so ist erwiesen, dass das im Mai 2007 eröffnete Konto des Beschwerdeführers 1 bei der Bank O. AG per 8. November 2007 mittels eines Übertrags von USD 50'000.-- zu Lasten des auf die Beschwerdeführerin 2 lautenden Kontos bei derselben Bank ak- tiviert wurde. Beim belasteten handelt es sich um dasjenige Konto, auf wel- ches die vom Beschwerdeführer 1 mit den aus der von G. begangenen Un- terschlagung herrührenden Geldmitteln erworbenen Convertible Bonds der L. Corporation Ende März 2007 übertragen worden waren, bevor sie bank- intern auf das Konto der Beschwerdeführerin 3 weitertransferiert und in Ak- tien gewandelt wurden. Die die Bankverbindung des Beschwerdeführers 1 betreffenden Unterlagen stehen demnach, auch wenn sich das Rechtshil- feersuchen nicht explizit auf diese bezieht, in einem direkten sachlichen Zusammenhang mit dem im Rechtshilfeersuchen dargestellten Sachver- halt, so dass deren Übermittlung an die ersuchende Behörde das aus dem Prinzip der Verhältnismässigkeit fliessende Übermassverbot nicht verletzt.</w:t>
      </w:r>
    </w:p>
    <w:p>
      <w:r>
        <w:t>- 14 -</w:t>
      </w:r>
    </w:p>
    <w:p>
      <w:r>
        <w:t>Die Rüge der Verletzung des Verhältnismässigkeitsprinzips ist somit unbe- gründet. Auf das diesbezügliche Vorbringen der Beschwerdeführer, die Be- schwerdegegnerin habe ihnen keine Möglichkeit gegeben, am Verfahren der Ausscheidung der für das koreanische Strafverfahren potentiell erhebli- chen Unterlagen teilzunehmen, braucht hier in Anbetracht dessen, dass die Beschwerdeführer ausdrücklich darauf verzichtet haben, die Verletzung des rechtlichen Gehörs als selbständigen Beschwerdegrund geltend zu machen (act. 13 S. 24 Ziff. 55), nicht näher eingegangen zu werden. 6. Die Beschwerde erweist sich nach dem Gesagten in allen Punkten als un- begründet und ist daher abzuweisen. Im vorliegenden Fall steht der Ge- währung von Rechtshilfe an die Republik Korea nichts entgegen. 7. Bei diesem Ausgang des Verfahrens haben die Beschwerdeführer die Kos- ten zu tragen (Art. 63 Abs. 1 VwVG i.V.m. Art. 30 lit. b SGG). Für die Be- rechnung der Gerichtsgebühren gelangt gemäss Art. 63 Abs. 5 VwVG das Reglement vom 11. Februar 2004 über die Gerichtsgebühren vor dem Bundesstrafgericht (SR 173.711.32) zur Anwendung. Die Gerichtsgebühr ist auf insgesamt Fr. 15’000.-- festzusetzen (Art. 3 i.V.m. Art. 4 lit. c des Reglements) und den Beschwerdeführern unter solidarischer Haftung auf- zuerlegen, unter Anrechnung des geleisteten Kostenvorschusses in glei- cher Höhe.</w:t>
      </w:r>
    </w:p>
    <w:p>
      <w:r>
        <w:t>- 15 -</w:t>
      </w:r>
    </w:p>
    <w:p>
      <w:r>
        <w:t>Demnach erkennt die II. Beschwerdekammer:</w:t>
      </w:r>
    </w:p>
    <w:p>
      <w:r>
        <w:t>1. Die Beschwerde wird abgewiesen.</w:t>
      </w:r>
    </w:p>
    <w:p>
      <w:r>
        <w:t>2. Die Gerichtsgebühr von Fr. 15’000.-- wird den Beschwerdeführern unter soli- darischer Haftung auferlegt, unter Anrechnung des geleisteten Kostenvor- schusses in gleicher Höhe.</w:t>
      </w:r>
    </w:p>
    <w:p>
      <w:r>
        <w:t>Bellinzona, 13. April 2010 Im Namen der II. Beschwerdekammer des Bundesstrafgerichts</w:t>
      </w:r>
    </w:p>
    <w:p>
      <w:r>
        <w:t>Die Präsidentin: Der Gerichtsschreiber:</w:t>
      </w:r>
    </w:p>
    <w:p>
      <w:r>
        <w:t>Zustellung an</w:t>
      </w:r>
    </w:p>
    <w:p>
      <w:r>
        <w:t>- Rechtsanwalt Bernhard Lötscher - Bundesanwaltschaft, Zweigstelle Zürich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