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RR.2009.297 vom 17. November 2009</w:t>
      </w:r>
    </w:p>
    <w:p>
      <w:r>
        <w:t>Bundesstrafgericht, 2009-11-17, IT</w:t>
      </w:r>
    </w:p>
    <w:p>
      <w:r>
        <w:rPr>
          <w:b/>
        </w:rPr>
        <w:t xml:space="preserve">Quelle: </w:t>
      </w:r>
      <w:r>
        <w:t>https://mcp.opencaselaw.ch/entscheid/bstger_RR.2009.297</w:t>
      </w:r>
    </w:p>
    <w:p>
      <w:r>
        <w:t>FR: TPF RR.2009.297 du 17 novembre 2009</w:t>
      </w:r>
    </w:p>
    <w:p>
      <w:r>
        <w:t>IT: TPF RR.2009.297 del 17 novembre 2009</w:t>
      </w:r>
    </w:p>
    <w:p>
      <w:pPr>
        <w:pStyle w:val="Heading2"/>
      </w:pPr>
      <w:r>
        <w:t>Regeste</w:t>
      </w:r>
    </w:p>
    <w:p>
      <w:r>
        <w:t>Assistenza giudiziaria internazionale in materia penale alla Germania. Mancato pagamento dell'anticipo delle spese (art. 63 cpv. 4 PA unitamente agli art. 21 cpv. 3 e 23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