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RR.2009.288 vom 4. November 2009</w:t>
      </w:r>
    </w:p>
    <w:p>
      <w:r>
        <w:t>Bundesstrafgericht, 2009-11-04, DE</w:t>
      </w:r>
    </w:p>
    <w:p>
      <w:r>
        <w:rPr>
          <w:b/>
        </w:rPr>
        <w:t xml:space="preserve">Quelle: </w:t>
      </w:r>
      <w:r>
        <w:t>https://mcp.opencaselaw.ch/entscheid/bstger_RR.2009.288</w:t>
      </w:r>
    </w:p>
    <w:p>
      <w:r>
        <w:t>FR: TPF RR.2009.288 du 4 novembre 2009</w:t>
      </w:r>
    </w:p>
    <w:p>
      <w:r>
        <w:t>IT: TPF RR.2009.288 del 4 novembre 2009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September 2009 gegen die Schlussverfügung vom 6. August 2009 an die II. Beschwerdekammer des Bundesstrafgerichts gelangt ist (act. 1);</w:t>
      </w:r>
    </w:p>
    <w:p>
      <w:r>
        <w:t>- der Beschwerdeführer mit Schreiben vom 14. September 2009 eingeladen wurde, bis zum 25. September 2009 einen Kostenvorschuss von Fr. 4'000.-- zu leisten und darauf aufmerksam gemacht wurde, dass bei Säumnis auf die Beschwerde nicht eingetreten wird (act. 3);</w:t>
      </w:r>
    </w:p>
    <w:p>
      <w:r>
        <w:t>- der Beschwerdeführer mit Eingabe vom 24. September 2009 erklärt, dass er seine Beschwerde ausschliesslich aus finanziellen Gründen zurückzie- he; er gleichzeitig ausdrücklich darauf verzichtet, ein Gesuch um unentgelt- liche Rechtspflege zu stellen (act. 6);</w:t>
      </w:r>
    </w:p>
    <w:p>
      <w:r>
        <w:t>- vollständigkeitshalber darauf hinzuweisen ist, dass der Beschwerdeführer die Beschwerde nicht innert Frist erhoben hat (s.o.), weshalb auf seine Be- schwerde ohnehin nicht einzutreten gewesen wäre;</w:t>
      </w:r>
    </w:p>
    <w:p>
      <w:r>
        <w:t>- der Beschwerdeführer, der seine Beschwerde zurückzieht, grundsätzlich als unterliegende Partei zu gelten und folglich gemäss Art. 63 Abs. 1 VwVG i.V.m. Art. 30 lit. b SGG die Gerichtskosten zu tragen hat (Entscheide des</w:t>
      </w:r>
    </w:p>
    <w:p>
      <w:r>
        <w:t>- 3 -</w:t>
      </w:r>
    </w:p>
    <w:p>
      <w:r>
        <w:t>Bundesstrafgerichts RR.2007.4 vom 6. März 2007 und RR.2007.70 vom 30. Mai 2007);</w:t>
      </w:r>
    </w:p>
    <w:p>
      <w:r>
        <w:t>- für die Berechnung der Gerichtsgebühren das Reglement vom 11. Februar 2004 über die Gerichtsgebühren vor dem Bundesstrafgericht zur Anwen- dung gelangt (SR 173.711.32; Art. 63 Abs. 5 VwVG i.V.m. Art. 30 lit. b SGG); die Gerichtsgebühr vorliegend auf Fr. 300.-- anzusetzen ist (Art. 3 des Reglementes);</w:t>
      </w:r>
    </w:p>
    <w:p>
      <w:r>
        <w:t>- der Untersuchungsrichter darauf aufmerksam gemacht wird, dass entgegen seiner Anordnung die Eintretensverfügung, die Vorladung sowie die Vor- führbefehle nicht herausgegeben werden dürfen (Urteil des Bundesgerichts 1A.43/2003 vom 23. April 2003, E. 3.2; Entscheid des Bundesstrafgerichts RR.2008.149 vom 11. Dezember 2008, E. 2.2); dies auch für die Eingaben des Beschwerdeführers gilt, soweit deren Inhalt nicht auf die erfolgte Ein- vernahme bzw. auf das Strafverfahren im ersuchenden Staat Bezug nimmt.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