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RR.2009.253 vom 31. August 2009</w:t>
      </w:r>
    </w:p>
    <w:p>
      <w:r>
        <w:t>Bundesstrafgericht, 2009-08-31, DE</w:t>
      </w:r>
    </w:p>
    <w:p>
      <w:r>
        <w:rPr>
          <w:b/>
        </w:rPr>
        <w:t xml:space="preserve">Quelle: </w:t>
      </w:r>
      <w:r>
        <w:t>https://mcp.opencaselaw.ch/entscheid/bstger_RR.2009.253</w:t>
      </w:r>
    </w:p>
    <w:p>
      <w:r>
        <w:t>FR: TPF RR.2009.253 du 31 août 2009</w:t>
      </w:r>
    </w:p>
    <w:p>
      <w:r>
        <w:t>IT: TPF RR.2009.253 del 31 agosto 2009</w:t>
      </w:r>
    </w:p>
    <w:p>
      <w:pPr>
        <w:pStyle w:val="Heading2"/>
      </w:pPr>
      <w:r>
        <w:t>Regeste</w:t>
      </w:r>
    </w:p>
    <w:p>
      <w:r>
        <w:t>Auslieferung an Serbien. Auslieferungsentscheid (Art. 55 IRSG).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Andere Auslieferungshindernisse werden weder geltend gemacht noch sind solche ersichtlich. Die Auslieferung des Beschwerdeführers an Serbien ist daher zulässig und seine durch K. erhobene Beschwerde abzuweisen.</w:t>
      </w:r>
    </w:p>
    <w:p>
      <w:r>
        <w:rPr>
          <w:b/>
        </w:rPr>
        <w:t>E. 8</w:t>
      </w:r>
    </w:p>
    <w:p>
      <w:r>
        <w:t>Der Beschwerdeführer wird bei diesem Ausgang des Verfahrens kosten- pflichtig (Art. 63 Abs. 1 VwVG i.V.m. Art. 30 lit. b SGG). Für die Berech- nung der Gerichtsgebühren kommt Art. 3 des Reglements vom 11. Februar 2004 über die Gerichtsgebühren vor dem Bundesstrafgericht (SR 173.711.32) zur Anwendung (Art. 63 Abs. 5 VwVG i.V.m. Art. 30 lit. b SGG und Art. 15 Abs. 1 lit. a SGG). Vorliegend ist die Gerichtsgebühr auf Fr. 1'500.-- festzusetzen.</w:t>
      </w:r>
    </w:p>
    <w:p>
      <w:r>
        <w:t>- 10 -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