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RR.2009.244 vom 29. Juli 2009</w:t>
      </w:r>
    </w:p>
    <w:p>
      <w:r>
        <w:t>Bundesstrafgericht, 2009-07-29, FR</w:t>
      </w:r>
    </w:p>
    <w:p>
      <w:r>
        <w:rPr>
          <w:b/>
        </w:rPr>
        <w:t xml:space="preserve">Quelle: </w:t>
      </w:r>
      <w:r>
        <w:t>https://mcp.opencaselaw.ch/entscheid/bstger_RR.2009.244</w:t>
      </w:r>
    </w:p>
    <w:p>
      <w:r>
        <w:t>FR: TPF RR.2009.244 du 29 juillet 2009</w:t>
      </w:r>
    </w:p>
    <w:p>
      <w:r>
        <w:t>IT: TPF RR.2009.244 del 29 luglio 2009</w:t>
      </w:r>
    </w:p>
    <w:p>
      <w:pPr>
        <w:pStyle w:val="Heading2"/>
      </w:pPr>
      <w:r>
        <w:t>Regeste</w:t>
      </w:r>
    </w:p>
    <w:p>
      <w:r>
        <w:t>Présence de fonctionnaires de l'autorité étrangère (art. 65a EIMP) Entraide judiciaire internationale en matière pénale au Royaume-Uni.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demande d’effet suspensif est devenue sans objet.</w:t>
      </w:r>
    </w:p>
    <w:p>
      <w:r>
        <w:rPr>
          <w:b/>
        </w:rPr>
        <w:t>E. 3</w:t>
      </w:r>
    </w:p>
    <w:p>
      <w:r>
        <w:t>Un émolument global de Fr. 3000.-- est mis à la charge solidaire des recou- rants.</w:t>
      </w:r>
    </w:p>
    <w:p>
      <w:r>
        <w:t>Bellinzone, le 29 juillet 2009</w:t>
      </w:r>
    </w:p>
    <w:p>
      <w:r>
        <w:t>Au nom de la IIe Cour des plaintes du Tribunal pénal fédéral</w:t>
      </w:r>
    </w:p>
    <w:p>
      <w:r>
        <w:t>La présidente: La greffière:</w:t>
      </w:r>
    </w:p>
    <w:p>
      <w:r>
        <w:t>Distribution</w:t>
      </w:r>
    </w:p>
    <w:p>
      <w:r>
        <w:t>- Mes Pierre Schifferli et Reza Vafadar, avocats - Ministère public de la Confédération - Office fédéral de la justice, Unité Entraide judiciaire</w:t>
      </w:r>
    </w:p>
    <w:p>
      <w:r>
        <w:t>Indication des voies de recours Cette décision n’est pas sujette à recours (art. 93 al. 2 LTF)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