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RR.2009.240 vom 28. Juli 2009</w:t>
      </w:r>
    </w:p>
    <w:p>
      <w:r>
        <w:t>Bundesstrafgericht, 2009-07-28, DE</w:t>
      </w:r>
    </w:p>
    <w:p>
      <w:r>
        <w:rPr>
          <w:b/>
        </w:rPr>
        <w:t xml:space="preserve">Quelle: </w:t>
      </w:r>
      <w:r>
        <w:t>https://mcp.opencaselaw.ch/entscheid/bstger_RR.2009.240</w:t>
      </w:r>
    </w:p>
    <w:p>
      <w:r>
        <w:t>FR: TPF RR.2009.240 du 28 juillet 2009</w:t>
      </w:r>
    </w:p>
    <w:p>
      <w:r>
        <w:t>IT: TPF RR.2009.240 del 28 luglio 2009</w:t>
      </w:r>
    </w:p>
    <w:p>
      <w:pPr>
        <w:pStyle w:val="Heading2"/>
      </w:pPr>
      <w:r>
        <w:t>Regeste</w:t>
      </w:r>
    </w:p>
    <w:p>
      <w:r>
        <w:t>Internationale Rechtshilfe in Strafsachen an Deutschland. Eintretensverfügung betreffend Einvernahme von Personen (Art. 63 Abs. 2 lit. b IRSG).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April 1959 (EUeR; SR 0.351.1), dem beide Staaten beigetreten sind, und der zwischen ihnen abgeschlossene Zusatzvertrag vom 13. November 1969 (ZV-D/EUeR; SR 0.351.913.1) massgebend sind und soweit das Staatsver- tragsrecht bestimmte Fragen nicht abschliessend regelt, das Bundesgesetz über internationale Rechtshilfe in Strafsachen vom 20. März 1981 (IRSG; SR 351.1) und die Verordnung über internationale Rechtshilfe in Strafsachen vom 24. Februar 1982 (IRSV; SR 351.11) zur Anwendung gelangen (Art. 1 Abs. 1 IRSG; BGE 130 II 337 E. 1 S. 339; 128 II 355 E. 1 S. 357; 124 II 180 E. 1a S. 181); das innerstaatliche Recht nach dem Günstigkeitsprinzip auch dann gilt, wenn dieses geringere Anforderungen an die Rechtshilfe stellt (BGE 129 II 462 E. 1.1 S. 464, mit weiteren Hinweisen);</w:t>
      </w:r>
    </w:p>
    <w:p>
      <w:r>
        <w:t>- der Rat der Europäischen Union am 27. November 2008 die vollständige An- wendung des Schengen-Besitzstands in der Schweiz ab dem 12. Dezember 2008 beschlossen hat (Beschluss des Rates 2008/903/EG; ABl. L 327 vom 5. Dezember 2008, S. 15 - 17); gestützt auf Art. 2 Ziff. 1 und Art. 15 Ziff. 1 des Abkommens vom 26. Oktober 2004 zwischen der Schweizerischen Eid- genossenschaft, der Europäischen Union und der Europäischen Gemein- schaft über die Assoziierung der Schweiz bei der Umsetzung, Anwendung</w:t>
      </w:r>
    </w:p>
    <w:p>
      <w:r>
        <w:t>- 3 -</w:t>
      </w:r>
    </w:p>
    <w:p>
      <w:r>
        <w:t>und Entwicklung des Schengen-Besitzstands (Schengen-Assoziie- rungsabkommen; SR 0.360.268.1) für die Rechtshilfe in Strafsachen zwi- schen der Schweiz und Deutschland überdies die Bestimmungen der Art. 48 ff. des Übereinkommens vom 19. Juni 1990 zur Durchführung des Übereinkommens von Schengen vom 14. Juni 1985 (Schengener Durchfüh- rungsübereinkommen, SDÜ; ABl. L 239 vom 22. September 2000, S. 19 - 62) zur Anwendung gelangen; das SDÜ in Art. 48 Abs. 1 auf die Bestimmungen des EUeR verweist, welches durch die Bestimmungen des SDÜ über die Rechtshilfe in Strafsachen ergänzt und in seiner Anwendung erleichtert wer- den soll;</w:t>
      </w:r>
    </w:p>
    <w:p>
      <w:r>
        <w:t>- die ausführende Behörde eine summarisch begründete Eintretensverfügung erlässt und die zulässigen Rechtshilfehandlungen anordnet (Art. 80a Abs. 1 IRSG);</w:t>
      </w:r>
    </w:p>
    <w:p>
      <w:r>
        <w:t>- dieselbe Behörde eine begründete Schlussverfügung über die Gewährung und den Umfang der Rechtshilfe erlässt, wenn sie das Ersuchen als ganz oder teilweise erledigt erachtet; diese zusammen mit den vorangehenden Zwischenverfügungen der Beschwerde an die Beschwerdekammer des Bun- desstrafgerichtes unterliegt (Art. 80d und Art. 80e Abs. 1 IRSG);</w:t>
      </w:r>
    </w:p>
    <w:p>
      <w:r>
        <w:t>- der Schlussverfügung vorangehende Zwischenverfügungen nur selbständig angefochten werden können, sofern sie durch die Beschlagnahme von Ver- mögenswerten und Wertgegenständen oder durch die Anwesenheit von Per- sonen, die am ausländischen Prozess beteiligt sind, einen unmittelbaren und nicht wieder gutzumachenden Nachteil bewirken (Art. 80e Abs. 2 IRSG);</w:t>
      </w:r>
    </w:p>
    <w:p>
      <w:r>
        <w:t>- mittels Verfügung der Beschwerdegegnerin vom 19. Juni 2009 weder die Be- schlagnahme von Vermögenswerten oder Wertgegenständen angeordnet noch die Anwesenheit von ausländischen Prozessbeteiligten bewilligt, son- dern die polizeiliche Einvernahme des Beschwerdeführers verfügt wurde;</w:t>
      </w:r>
    </w:p>
    <w:p>
      <w:r>
        <w:t>- gegen diese Verfügung somit keine Beschwerde zulässig ist (woraufhin die Beschwerdegegnerin in ihrer Verfügung unter Dispositiv Ziff. 4 hingewiesen hatte), weshalb auf sie nicht einzutreten ist;</w:t>
      </w:r>
    </w:p>
    <w:p>
      <w:r>
        <w:t>- der Beschwerdeführer bei diesem Ausgang des Verfahrens kostenpflichtig wird (Art. 63 Abs. 1 VwVG i.V.m. Art. 30 lit. b SGG), wobei für die Berech- nung der Gerichtsgebühr gemäss Art. 63 Abs. 5 VwVG das Reglement vom 11. Februar 2004 über die Gerichtsgebühren vor dem Bundesstrafgericht (SR 173.711.32) zur Anwendung gelangt und die Gerichtsgebühr auf Fr. 500.-- festzusetzen ist.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