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RR.2009.237 vom 6. August 2009</w:t>
      </w:r>
    </w:p>
    <w:p>
      <w:r>
        <w:t>Bundesstrafgericht, 2009-08-06, FR</w:t>
      </w:r>
    </w:p>
    <w:p>
      <w:r>
        <w:rPr>
          <w:b/>
        </w:rPr>
        <w:t xml:space="preserve">Quelle: </w:t>
      </w:r>
      <w:r>
        <w:t>https://mcp.opencaselaw.ch/entscheid/bstger_RR.2009.237</w:t>
      </w:r>
    </w:p>
    <w:p>
      <w:r>
        <w:t>FR: TPF RR.2009.237 du 6 août 2009</w:t>
      </w:r>
    </w:p>
    <w:p>
      <w:r>
        <w:t>IT: TPF RR.2009.237 del 6 agosto 2009</w:t>
      </w:r>
    </w:p>
    <w:p>
      <w:pPr>
        <w:pStyle w:val="Heading2"/>
      </w:pPr>
      <w:r>
        <w:t>Regeste</w:t>
      </w:r>
    </w:p>
    <w:p>
      <w:r>
        <w:t>Entraide judiciaire internationale en matière pénale. Droit de consulter le dossier (art. 26 PA).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let. a, b et c PA;</w:t>
      </w:r>
    </w:p>
    <w:p>
      <w:r>
        <w:t>que sa demande pouvait dès lors être rejetée pour ce seul motif;</w:t>
      </w:r>
    </w:p>
    <w:p>
      <w:r>
        <w:t>que, par surabondance, le droit de consulter le dossier dans la procédure d’entraide s'éteint lorsque le dossier est terminé et que sa consultation ne permettrait pas à la personne visée d'entreprendre la décision de clôture, ainsi que les décisions incidentes antérieures, qui sont entrées en force (ar- rêt du Tribunal fédéral 1A.95/2002 du 16 juillet 2002, consid. 2.2 et les ar- rêts cités);</w:t>
      </w:r>
    </w:p>
    <w:p>
      <w:r>
        <w:t>qu’en l’espèce, la consultation de dossier demandée par A. le 6 mai 2009 n’était aucunement susceptible de lui permettre d'entreprendre une quel- conque décision de clôture ou décision incidente antérieure, dès lors que, comme l’OFJ l’en avait informé le 28 janvier 2005, la demande suisse de recherche internationale diffusée contre lui le 6 octobre 2004 avait été ré- voquée le 30 novembre 2004 et qu’aucune demande formelle d’extradition contre lui n’avait été présentée à un Etat étranger;</w:t>
      </w:r>
    </w:p>
    <w:p>
      <w:r>
        <w:t>que, dans ces conditions, la question de savoir si l’intérêt de l’association B. à ce que l’hypothétique correspondance entre cette association et l’OFJ demeure secrète constitue un «intérêt privé important» au sens de l’art. 27 al. 1 let. b PA peut demeurer ouverte;</w:t>
      </w:r>
    </w:p>
    <w:p>
      <w:r>
        <w:t>que, vu ce qui précède, les conclusions du recourant étaient d’emblée vouées à l’échec, de sorte qu’il a été renoncé à procéder à un échange d’écritures (art. 57 al. 1 PA a contrario, applicable en vertu du renvoi de l’art. 30 let. b LTPF);</w:t>
      </w:r>
    </w:p>
    <w:p>
      <w:r>
        <w:t>- 5 -</w:t>
      </w:r>
    </w:p>
    <w:p>
      <w:r>
        <w:t>que, pour le même motif, la demande d’assistance judiciaire de A. doit être rejetée (art. 65 al. 1 PA);</w:t>
      </w:r>
    </w:p>
    <w:p>
      <w:r>
        <w:t>qu’au surplus, la sauvegarde des droits du recourant ne requerrait en rien que la Cour lui attribue un avocat (art. 65 al. 2 PA);</w:t>
      </w:r>
    </w:p>
    <w:p>
      <w:r>
        <w:t>que, pour tenir compte de la situation financière du recourant, il se justifie, exceptionnellement, de statuer sans frais (art. 63 al. 1 PA).</w:t>
      </w:r>
    </w:p>
    <w:p>
      <w:r>
        <w:t>- 6 -</w:t>
      </w:r>
    </w:p>
    <w:p>
      <w:r>
        <w:t>Par ces motifs, la IIe Cour des plaintes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