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RR.2009.22 vom 25. Mai 2009</w:t>
      </w:r>
    </w:p>
    <w:p>
      <w:r>
        <w:t>Bundesstrafgericht, 2009-05-25, IT</w:t>
      </w:r>
    </w:p>
    <w:p>
      <w:r>
        <w:rPr>
          <w:b/>
        </w:rPr>
        <w:t xml:space="preserve">Quelle: </w:t>
      </w:r>
      <w:r>
        <w:t>https://mcp.opencaselaw.ch/entscheid/bstger_RR.2009.22</w:t>
      </w:r>
    </w:p>
    <w:p>
      <w:r>
        <w:t>FR: TPF RR.2009.22 du 25 mai 2009</w:t>
      </w:r>
    </w:p>
    <w:p>
      <w:r>
        <w:t>IT: TPF RR.2009.22 del 25 maggio 2009</w:t>
      </w:r>
    </w:p>
    <w:p>
      <w:pPr>
        <w:pStyle w:val="Heading2"/>
      </w:pPr>
      <w:r>
        <w:t>Regeste</w:t>
      </w:r>
    </w:p>
    <w:p>
      <w:r>
        <w:t>Assistenza giudiziaria in materia penale all'Italia Decisione incidentale di sequestro (art. 80e let. a AIMP)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aprile 2009 una risposta al ricorso; che con lettera del 9 aprile 2009 il patrocinatore del ricorrente ha affermato come nel quadro di un’udienza tenutasi il giorno precedente presso il MPC l’autorità rogante avesse comunicato il suo disinteresse per la documenta- zione in oggetto, invitando il MPC a pronunciarne il dissequestro, precisan- do che a quel momento il suo gravame avrebbe potuto essere stralciato dai ruoli; che con ordine di dissequestro del 9 aprile 2009 il MPC ha ordinato lo sblocco con effetto immediato della rubrica fiduciaria n. 1 (n. portafoglio 2), revocando quindi la sua decisione del 2 febbraio 2009; che, a seguito della suddetta decisione, il 24 aprile 2009 l’UFG ha rinuncia- to ad inoltrare delle osservazioni entro il termine prorogato del 28 aprile 2009;</w:t>
      </w:r>
    </w:p>
    <w:p>
      <w:r>
        <w:t>- 3 -</w:t>
      </w:r>
    </w:p>
    <w:p>
      <w:r>
        <w:t>che con scritto del 29 aprile 2009 il MPC ha rilevato come nel quadro del- l’esame dei documenti bancari tenutosi l’8 aprile precedente, il ricorrente ha acconsentito alla trasmissione semplificata ex art. 80c AIMP all’autorità ro- gante di una parte della documentazione, riconosciuto che le richieste pre- sentate da quest’ultima erano perfettamente giustificate da esigenze istrut- torie, precisando nel contempo che avrebbe ritirato il suo ricorso del 13 febbraio 2009; che alla luce di tutto quanto esposto, in particolare della lettera del 9 aprile 2009 del patrocinatore della ricorrente, mediante la quale viene implicita- mente dichiarato il ritiro del ricorso a fronte della sopravveniente citata de- cisione di dissequestro da parte del MPC, questo Tribunale prende atto del ritiro del gravame; che la causa viene pertanto stralciata dal ruolo; che in ambito di spese processuali, visti gli art. 15 cpv. 1 lett. a e 30 lett. b della legge federale del 4 ottobre 2002 sul Tribunale penale federale (LTPF, RS 173.71) nonché la relativa giurisprudenza di questo Tribunale (sentenze TPF RR.2007.42 del 4 aprile 2007, consid. 4 e TPF RR.2007.31 del 21 marzo 2007, consid. 4), si applicano il regolamento sulle tasse di giustizia del Tribunale penale federale (RS 173.711.32) e le pertinenti di- sposizioni della legge federale sulla procedura amministrativa del 20 di- cembre 1968 (PA, RS 172.021), che in caso di ritiro del gravame i costi cagionati dallo stesso vanno di rego- la messi a carico della parte che lo ha ritirato, in quanto considerata parte soccombente giusta l’art. 63 cpv. 1 PA (v. BENOÎT BOVAY, Procédure admi- nistrative, Berna 2000, pag. 459, FRITZ GYGI, Bundesverwaltungsre- chtspflege, 2a ed., Berna 1983, pag. 327); che tuttavia, viste le circostanze particolari della presente fattispecie, il Tri- bunale rinuncia a prelevare delle spese processuali; che al ricorrente deve essere restituito l’anticipo delle spese di Fr. 2'000.-- versato in pendenza di causa;</w:t>
      </w:r>
    </w:p>
    <w:p>
      <w:r>
        <w:t>- 4 -</w:t>
      </w:r>
    </w:p>
    <w:p>
      <w:r>
        <w:t>Per questi motivi, la II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