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RR.2009.215 vom 9. September 2009</w:t>
      </w:r>
    </w:p>
    <w:p>
      <w:r>
        <w:t>Bundesstrafgericht, 2009-09-09, FR</w:t>
      </w:r>
    </w:p>
    <w:p>
      <w:r>
        <w:rPr>
          <w:b/>
        </w:rPr>
        <w:t xml:space="preserve">Quelle: </w:t>
      </w:r>
      <w:r>
        <w:t>https://mcp.opencaselaw.ch/entscheid/bstger_RR.2009.215</w:t>
      </w:r>
    </w:p>
    <w:p>
      <w:r>
        <w:t>FR: TPF RR.2009.215 du 9 septembre 2009</w:t>
      </w:r>
    </w:p>
    <w:p>
      <w:r>
        <w:t>IT: TPF RR.2009.215 del 9 settembre 2009</w:t>
      </w:r>
    </w:p>
    <w:p>
      <w:pPr>
        <w:pStyle w:val="Heading2"/>
      </w:pPr>
      <w:r>
        <w:t>Regeste</w:t>
      </w:r>
    </w:p>
    <w:p>
      <w:r>
        <w:t>Entraide judiciaire internationale en matière pénale à la France. Remise en vue de restitution (art. 74a EIMP).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1996 entre le Conseil fédéral suisse et le Gouvernement de la République française en vue de compléter la CEEJ (RS 0.351.934.92), en- tré en vigueur le 1er mai 2000;</w:t>
      </w:r>
    </w:p>
    <w:p>
      <w:r>
        <w:t>l'EIMP et son ordonnance d'exécution (OEIMP; RS 351.11) règlent les questions qui ne sont pas régies, explicitement ou implicitement, par les traités (ATF 130 II 337 consid. 1 p. 339; 128 II 355 consid. 1 p. 357 et la ju- risprudence citée);</w:t>
      </w:r>
    </w:p>
    <w:p>
      <w:r>
        <w:t>la procédure d'entraide, de nature administrative, met en jeu les relations d'Etat à Etat et ne constitue pas le simple prolongement, sur le territoire de l'Etat requis, de la procédure pénale ouverte dans l'Etat requérant (arrêt du Tribunal fédéral 1A.254/2000 du 4 janvier 2001, consid. 3d);</w:t>
      </w:r>
    </w:p>
    <w:p>
      <w:r>
        <w:t>il en découle que les autorités étatiques sont seules habilitées à requérir l’entraide judiciaire internationale en matière pénale (art. 3 ch. 1 CEEJ et 75 al. 1 EIMP);</w:t>
      </w:r>
    </w:p>
    <w:p>
      <w:r>
        <w:t>la décision querellée se fonde sur l’art. 74a EIMP;</w:t>
      </w:r>
    </w:p>
    <w:p>
      <w:r>
        <w:t>selon l’art. 74a al. 1 EIMP, «sur demande de l’autorité étrangère compé- tente, les objets ou valeurs saisis à titre conservatoire peuvent lui être re- mis au terme de la procédure d’entraide (art. 80d), en vue de confiscation ou de restitution à l’ayant droit»;</w:t>
      </w:r>
    </w:p>
    <w:p>
      <w:r>
        <w:t>en l’espèce, il ne ressort pas du dossier que les autorités françaises aient jamais présenté à la Suisse une demande tendant à la remise des avoirs li- tigieux en vue de restitution à l’ayant droit, de sorte que la condition d’une «demande de l’autorité étrangère compétente» au sens de l’art. 74a EIMP n’est manifestement pas réalisée;</w:t>
      </w:r>
    </w:p>
    <w:p>
      <w:r>
        <w:t>aux termes de l’art. 75 al. 2 EIMP, «si le droit de l’Etat requérant donne aux parties la compétence d’accomplir des actes de procédure, les autorités suisses peuvent également donner suite à leurs requêtes»;</w:t>
      </w:r>
    </w:p>
    <w:p>
      <w:r>
        <w:t>selon la jurisprudence, cette disposition tient compte de certains cas parti- culiers du droit anglo-américain, dans lesquels la citation et l’audition des parties, des témoins et des experts, les demandes tendant à l’obtention d’une expertise, à l’édition de documents, à l’aménagement d’une vision lo- cale, etc. ne relèvent pas de la compétence des autorités, mais des par- ties (arrêt du Tribunal fédéral 1A.246/1999 du 20 décembre 1999, consid. 2b);</w:t>
      </w:r>
    </w:p>
    <w:p>
      <w:r>
        <w:t>- 4 -</w:t>
      </w:r>
    </w:p>
    <w:p>
      <w:r>
        <w:t>toujours selon la jurisprudence, l’art. 75 al. 2 EIMP doit être interprété de manière restrictive, en ce sens qu’une demande d’entraide ne peut être formée qu’exceptionnellement par une partie à la procédure étrangère, par exemple lorsque cette partie ne peut obtenir la remise d’une demande d’entraide à la Suisse de la part des autorités étrangères concernées (arrêt du Tribunal fédéral 1A.246/1999 du 20 décembre 1999, consid. 2b; v. aussi ROBERT ZIMMERMANN, La coopération judiciaire internationale en matière pénale, 3e éd., Berne 2009, n° 292);</w:t>
      </w:r>
    </w:p>
    <w:p>
      <w:r>
        <w:t>en l’espèce, il ne ressort pas du dossier que le droit français autorise les parties à accomplir des actes de procédure;</w:t>
      </w:r>
    </w:p>
    <w:p>
      <w:r>
        <w:t>il ne ressort pas non plus du dossier que la société C. ait jamais présenté aux autorités françaises une requête tendant à ce que ces autorités sollicitent la remise, par les autorités suisses, des avoirs déposés sur le compte n° 1 en vue de confiscation ou de restitution;</w:t>
      </w:r>
    </w:p>
    <w:p>
      <w:r>
        <w:t>il s’ensuit que la décision querellée doit être annulée, au motif que la resti- tution des avoirs litigieux à la société C. ne peut être ordonnée en applica- tion de l’art. 74a EIMP, en l’absence d’une demande d’entraide dans ce sens émanant des autorités françaises;</w:t>
      </w:r>
    </w:p>
    <w:p>
      <w:r>
        <w:t>contrairement à l’avis du recourant, cela ne signifie toutefois pas que le blocage des avoirs litigieux doive être levé;</w:t>
      </w:r>
    </w:p>
    <w:p>
      <w:r>
        <w:t>en effet, à teneur de l’art. 33a OEIMP, «les objets et valeurs dont la remise à l’Etat requérant est subordonnée à une décision définitive et exécutoire de ce dernier (art. 74a, al. 3, EIMP) demeurent saisis jusqu’à réception de ladite décision ou jusqu’à ce que l’Etat requérant ait fait savoir à l’autorité d’exécution compétente qu’une telle décision ne pouvait plus être rendue selon son propre droit, notamment en raison de la prescription»;</w:t>
      </w:r>
    </w:p>
    <w:p>
      <w:r>
        <w:t>en l’occurrence, vu le degré de complexité de la procédure française, la durée de la saisie litigieuse est loin d’atteindre la durée considérée comme critique par la jurisprudence (v. à ce sujet TPF 2007 124 consid. 8);</w:t>
      </w:r>
    </w:p>
    <w:p>
      <w:r>
        <w:t>le recours est par conséquent admis, dans le sens des considérants qui précèdent;</w:t>
      </w:r>
    </w:p>
    <w:p>
      <w:r>
        <w:t>dans le cas d’espèce, la société C. dispose de la faculté d’intervenir auprès des autorités françaises afin que celles-ci sollicitent, par la voie de</w:t>
      </w:r>
    </w:p>
    <w:p>
      <w:r>
        <w:t>- 5 -</w:t>
      </w:r>
    </w:p>
    <w:p>
      <w:r>
        <w:t>l’entraide, la remise, par les autorités suisses, des avoirs déposés sur le compte n° 1 en vue de confiscation ou de restitution;</w:t>
      </w:r>
    </w:p>
    <w:p>
      <w:r>
        <w:t>il incombe par ailleurs à l’OFJ, en sa qualité d’autorité de surveillance pour l’application de l’EIMP au sens de l’art. 3 OEIMP, de suivre attentivement l’avancement de la procédure pénale et de la procédure de confiscation en France (v. TPF 2007 124 consid. 8.2.4);</w:t>
      </w:r>
    </w:p>
    <w:p>
      <w:r>
        <w:t>en l’espèce, l’OFJ interpellera au besoin les autorités françaises sur le sort qu’elles entendent réserver aux avoirs déposés sur le compte n° 1 bloqués à leur demande;</w:t>
      </w:r>
    </w:p>
    <w:p>
      <w:r>
        <w:t>les frais de procédure sont en principe mis à la charge de la partie qui suc- combe (art. 63 al. 1 PA, applicable par renvoi de l’art. 30 let. b LTPF);</w:t>
      </w:r>
    </w:p>
    <w:p>
      <w:r>
        <w:t>aucun frais de procédure ne peut être mis à la charge des autorités infé- rieures (art. 63 al. 2 PA);</w:t>
      </w:r>
    </w:p>
    <w:p>
      <w:r>
        <w:t>l’autorité de recours peut allouer, d’office ou sur requête, à la partie ayant entièrement ou partiellement gain de cause, une indemnité pour les frais indispensables et relativement élevés qui lui ont été occasionnés (art. 64 al. 1 PA);</w:t>
      </w:r>
    </w:p>
    <w:p>
      <w:r>
        <w:t>les dépens alloués sont supportés par la collectivité ou par l’établissement autonome au nom de qui l’autorité inférieure a statué (art. 64 al. 2 PA);</w:t>
      </w:r>
    </w:p>
    <w:p>
      <w:r>
        <w:t>en l’espèce, vu le sort du recours, l’ampleur et la difficulté de la cause, il se justifie d’allouer au recourant une indemnité de dépens fixée selon l’appréciation de l’autorité de céans (art. 3 al. 2 du règlement du 26 sep- tembre 2006 sur les dépens et indemnités alloués devant le Tribunal pénal fédéral [RS 173.711.31]) à Fr. 1'000.-- (TVA comprise), à la charge de la partie adverse.</w:t>
      </w:r>
    </w:p>
    <w:p>
      <w:r>
        <w:t>- 6 -</w:t>
      </w:r>
    </w:p>
    <w:p>
      <w:r>
        <w:t>Par ces motifs, la IIe Cour des plaintes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