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RR.2009.201 vom 16. September 2009</w:t>
      </w:r>
    </w:p>
    <w:p>
      <w:r>
        <w:t>Bundesstrafgericht, 2009-09-16, FR</w:t>
      </w:r>
    </w:p>
    <w:p>
      <w:r>
        <w:rPr>
          <w:b/>
        </w:rPr>
        <w:t xml:space="preserve">Quelle: </w:t>
      </w:r>
      <w:r>
        <w:t>https://mcp.opencaselaw.ch/entscheid/bstger_RR.2009.201</w:t>
      </w:r>
    </w:p>
    <w:p>
      <w:r>
        <w:t>FR: TPF RR.2009.201 du 16 septembre 2009</w:t>
      </w:r>
    </w:p>
    <w:p>
      <w:r>
        <w:t>IT: TPF RR.2009.201 del 16 settembre 2009</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est prioritairement régie par la Convention européenne d’entraide judiciaire en matière pénale (CEEJ; 0.351.1), entrée en vigueur pour la Suisse le 20 mars 1967 et pour la France le 21 août 1967, ainsi que par l'accord bilatéral</w:t>
      </w:r>
    </w:p>
    <w:p>
      <w:r>
        <w:t>- 5 -</w:t>
      </w:r>
    </w:p>
    <w:p>
      <w:r>
        <w:t>complétant cette convention (RS 0.351.934.92), conclu le 28 octobre 1996 et entré en vigueur le 1er mai 2000.</w:t>
      </w:r>
    </w:p>
    <w:p>
      <w:r>
        <w:rPr>
          <w:b/>
        </w:rPr>
        <w:t>E. 1.3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rPr>
          <w:b/>
        </w:rPr>
        <w:t>E. 1.4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1.5.1</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l’institution de la jonction des causes est néanmoins admise en pratique (cf. arrêt du Tribunal pénal fédéral RR.2007.187 du 8 avril 2008, consid. 1).</w:t>
      </w:r>
    </w:p>
    <w:p>
      <w:r>
        <w:rPr>
          <w:b/>
        </w:rPr>
        <w:t>E. 1.5.2</w:t>
      </w:r>
    </w:p>
    <w:p>
      <w:r>
        <w:t>En l’espèce, les recours formés respectivement par la fiduciaire N. SA et par la société A. SARL reposent sur des griefs différent et tendent à des conclusions différentes. Par souci de clarté, s’agissant notamment de la li- sibilité des considérants relatifs à la recevabilité des recours, il ne se justifie pas, ainsi que proposé par l’OFJ, de joindre les causes RR.2009.199 et RR.2009.201.</w:t>
      </w:r>
    </w:p>
    <w:p>
      <w:r>
        <w:rPr>
          <w:b/>
        </w:rPr>
        <w:t>E. 2.1</w:t>
      </w:r>
    </w:p>
    <w:p>
      <w:r>
        <w:t>La qualité pour agir contre une mesure d'entraide judiciaire est reconnue à celui qui est touché personnellement et directement et a un intérêt digne de protection à ce qu’elle soit annulée ou modifiée (art. 80h let. b EIMP). Aux termes de l’art. 9a OIMP, sont notamment réputés personnellement et di- rectement touchés au sens de ces dispositions le titulaire d'un compte ban-</w:t>
      </w:r>
    </w:p>
    <w:p>
      <w:r>
        <w:t>- 6 -</w:t>
      </w:r>
    </w:p>
    <w:p>
      <w:r>
        <w:t>caire dont les pièces sont saisies (let. a) et le propriétaire ou le locataire qui doit se soumettre personnellement à une perquisition ou à une saisie (let. b). La jurisprudence constante dénie la qualité pour recourir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Lorsque des avo- cats ou des fiduciaires détiennent des documents bancaires, ils le font gé- néralement en raison d'un mandat qui les lie à leur client, pour lequel ils déploient une activité propre; par conséquent, si la jurisprudence présume généralement que les documents saisis auprès d'une banque ne concer- nent pas sa propre gestion (ATF 128 II 211 consid. 2.2), il faut partir de la prémisse inverse à l'égard des fiduciaires et des avocats, de sorte que ces derniers sont en principe seuls habilités à recourir en tant que personnes soumises à une mesure de perquisition (art. 9a let. b OEIMP; arrêt du Tri- bunal pénal fédéral RR.2007.101 du 12 juillet 2007, consid. 2.1; arrêt du Tribunal fédéral 1A.293/2004 du 18 mars 2005, consid. 2.3).</w:t>
      </w:r>
    </w:p>
    <w:p>
      <w:r>
        <w:rPr>
          <w:b/>
        </w:rPr>
        <w:t>E. 2.2</w:t>
      </w:r>
    </w:p>
    <w:p>
      <w:r>
        <w:t>En l’espèce, aux termes du procès-verbal de perquisition dressé le 17 mars 2009, la perquisition a été menée dans les locaux de la fiduciaire N. SA, avec la collaboration de son président O., lequel a produit toutes les pièces détenues par cette fiduciaire en vertu des mandat la liant aux personnes vi- sées par l’enquête française. Rien ne justifie de s’écarter des principes dé- gagés par la jurisprudence constante, selon laquelle la personne concer- née par des documents saisis en mains tierces n'a pas qualité pour agir, quand bien même ces documents contiennent des informations à son sujet (ATF 130 II 162 consid. 1.1 et la jurisprudence citée). En sa qualité de mandante de la société fiduciaire saisie, la société A. SARL n’est pas habi- litée à recourir. Son recours doit partant être déclaré irrecevable.</w:t>
      </w:r>
    </w:p>
    <w:p>
      <w:r>
        <w:rPr>
          <w:b/>
        </w:rPr>
        <w:t>E. 4</w:t>
      </w:r>
    </w:p>
    <w:p>
      <w:r>
        <w:t>Les frais de procédure sont mis à la charge de la recourante qui succombe (art. 63 al. 1 PA, applicable par renvoi de l’art. 30 let. b LTPF). Calculé conformément à l’art. 3 du Règlement du 11 février 2004 fixant les émolu- ments judiciaires perçus par le Tribunal pénal fédéral (RS 173.711.32; TPF RR.2007.26 du 9 juillet 2007, consid. 9.1), l’émolument judiciaire est fixé à CHF 2'000.--, couvert par l’avance de frais de CHF 5'000.-- déjà versée. Le solde de l’avance effectuée par la recourante, CHF Fr. 3'000.--, lui sera res- titué.</w:t>
      </w:r>
    </w:p>
    <w:p>
      <w:r>
        <w:t>- 7 -</w:t>
      </w:r>
    </w:p>
    <w:p>
      <w:r>
        <w:t>Par ces motifs, la IIe Cour des plaintes prononce:</w:t>
      </w:r>
    </w:p>
    <w:p>
      <w:r>
        <w:t>1. La demande de jonction de causes formulée par l’OFJ est rejetée. 2. Le recours est irrecevable.</w:t>
      </w:r>
    </w:p>
    <w:p>
      <w:r>
        <w:t>3. Un émolument de CHF 2'000.--, couvert par l’avance de frais de CHF 5'000.-- déjà versée, est mis à la charge de la recourante. La caisse du Tribunal pénal fédéral lui restituera le solde par CHF 3'000.--.</w:t>
      </w:r>
    </w:p>
    <w:p>
      <w:r>
        <w:t>Bellinzone, le 17 septembre 2009</w:t>
      </w:r>
    </w:p>
    <w:p>
      <w:r>
        <w:t>Au nom de la IIe Cour des plaintes du Tribunal pénal fédéral</w:t>
      </w:r>
    </w:p>
    <w:p>
      <w:r>
        <w:t>La présidente:</w:t>
      </w:r>
    </w:p>
    <w:p>
      <w:r>
        <w:t>Le greffier:</w:t>
      </w:r>
    </w:p>
    <w:p>
      <w:r>
        <w:t>Distribution</w:t>
      </w:r>
    </w:p>
    <w:p>
      <w:r>
        <w:t>- Me Michel Valticos,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