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RR.2009.191 vom 9. Juli 2009</w:t>
      </w:r>
    </w:p>
    <w:p>
      <w:r>
        <w:t>Bundesstrafgericht, 2009-07-09, IT</w:t>
      </w:r>
    </w:p>
    <w:p>
      <w:r>
        <w:rPr>
          <w:b/>
        </w:rPr>
        <w:t xml:space="preserve">Quelle: </w:t>
      </w:r>
      <w:r>
        <w:t>https://mcp.opencaselaw.ch/entscheid/bstger_RR.2009.191</w:t>
      </w:r>
    </w:p>
    <w:p>
      <w:r>
        <w:t>FR: TPF RR.2009.191 du 9 juillet 2009</w:t>
      </w:r>
    </w:p>
    <w:p>
      <w:r>
        <w:t>IT: TPF RR.2009.191 del 9 luglio 2009</w:t>
      </w:r>
    </w:p>
    <w:p>
      <w:pPr>
        <w:pStyle w:val="Heading2"/>
      </w:pPr>
      <w:r>
        <w:t>Regeste</w:t>
      </w:r>
    </w:p>
    <w:p>
      <w:r>
        <w:t>Presenza di funzionari esteri (art. 65a AIMP) Decisione incidentale.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effetto sospensivo è divenuta priva d'oggetto.</w:t>
      </w:r>
    </w:p>
    <w:p>
      <w:r>
        <w:rPr>
          <w:b/>
        </w:rPr>
        <w:t>E. 3</w:t>
      </w:r>
    </w:p>
    <w:p>
      <w:r>
        <w:t>La tassa di giustizia di Fr. 3'000.-- è posta a carico della ricorrente. Essa è coperta dall'anticipo dei costi già versato.</w:t>
      </w:r>
    </w:p>
    <w:p>
      <w:r>
        <w:t>Bellinzona, il 9 luglio 2009</w:t>
      </w:r>
    </w:p>
    <w:p>
      <w:r>
        <w:t>In nome della II Corte dei reclami penali del Tribunale penale federale</w:t>
      </w:r>
    </w:p>
    <w:p>
      <w:r>
        <w:t>La Presidente: La Cancelliera:</w:t>
      </w:r>
    </w:p>
    <w:p>
      <w:r>
        <w:t>Comunicazione a: - Avv. Elio Brunetti - Ministero pubblico della Confederazione - Ufficio federale di giustizia, Settore Assistenza giudiziaria</w:t>
      </w:r>
    </w:p>
    <w:p>
      <w:r>
        <w:t>Informazione sui rimedi giuridici Contro la presente sentenza non è dato alcun rimedio giuridico (v. art. 93 cpv. 2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