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RR.2009.175 vom 6. Oktober 2009</w:t>
      </w:r>
    </w:p>
    <w:p>
      <w:r>
        <w:t>Bundesstrafgericht, 2009-10-06, DE</w:t>
      </w:r>
    </w:p>
    <w:p>
      <w:r>
        <w:rPr>
          <w:b/>
        </w:rPr>
        <w:t xml:space="preserve">Quelle: </w:t>
      </w:r>
      <w:r>
        <w:t>https://mcp.opencaselaw.ch/entscheid/bstger_RR.2009.175</w:t>
      </w:r>
    </w:p>
    <w:p>
      <w:r>
        <w:t>FR: TPF RR.2009.175 du 6 octobre 2009</w:t>
      </w:r>
    </w:p>
    <w:p>
      <w:r>
        <w:t>IT: TPF RR.2009.175 del 6 ottobre 2009</w:t>
      </w:r>
    </w:p>
    <w:p>
      <w:pPr>
        <w:pStyle w:val="Heading2"/>
      </w:pPr>
      <w:r>
        <w:t>Regeste</w:t>
      </w:r>
    </w:p>
    <w:p>
      <w:r>
        <w:t>Internationale Rechtshilfe in Strafsachen an Griechenland. Herausgabe von Beweismitteln (Art. 74 Abs. 1 IRSG).</w:t>
      </w:r>
    </w:p>
    <w:p>
      <w:pPr>
        <w:pStyle w:val="Heading2"/>
      </w:pPr>
      <w:r>
        <w:t>Erwägungen</w:t>
      </w:r>
    </w:p>
    <w:p>
      <w:r>
        <w:rPr>
          <w:b/>
        </w:rPr>
        <w:t>E. 14</w:t>
      </w:r>
    </w:p>
    <w:p>
      <w:r>
        <w:t>Mai 2009 an die II. Be- schwerdekammer des Bundesstrafgerichts und beantragt (act. 1):</w:t>
      </w:r>
    </w:p>
    <w:p>
      <w:r>
        <w:t>„1.1. Es seien die Eintretensverfügung der Bundesanwaltschaft vom 15. August 2008 auf das ergänzende Rechtshilfeersuchen der Republik Griechenland vom 30. Juni 2008, die Editionsverfügung der Bundesanwaltschaft vom</w:t>
      </w:r>
    </w:p>
    <w:p>
      <w:r>
        <w:rPr>
          <w:b/>
        </w:rPr>
        <w:t>E. 15</w:t>
      </w:r>
    </w:p>
    <w:p>
      <w:r>
        <w:t>Juni 2009 das weitestgehend abgedeckte Schreiben der griechischen Untersuchungsbehörden vom 31. März 2009 nach und zeigte mit einer nicht abgedeckten Passage auf, dass in Griechenland gegen D. Anklage erhoben wurde (act. 8). Das erwähnte Schreiben wurde mithin einzig einge- reicht, um die Behauptung des Beschwerdeführers zu widerlegen und er- weist sich somit (siehe auch nachstehend E. 5.3) selbst von seinem nicht abgedeckten Text her als nicht entscheidrelevant. Nach dem Gesagten und im Lichte der in E. 3.2 dargestellten bundesgerichtlichen Rechtsprechung erweist sich die Edition des unzensurierten Schreibens im konkreten Fall als nicht erforderlich.</w:t>
      </w:r>
    </w:p>
    <w:p>
      <w:r>
        <w:t>3.4 Der Subsubeventualantrag auf Edition des unzensurierten Schreibens, Gewährung von Akteneinsicht und Ansetzung einer Frist zur Stellungnah- me ist demzufolge abzuweisen.</w:t>
      </w:r>
    </w:p>
    <w:p>
      <w:r>
        <w:t>4. Der Beschwerdeführer beantragt im Weiteren die Erteilung der aufschie- benden Wirkung. Diese kommt einer Beschwerde gegen die Schlussverfü- gung nach Art. 80l Abs. 1 IRSG von Gesetzes wegen zu, weshalb dieser Antrag nicht weiter zu behandeln ist.</w:t>
      </w:r>
    </w:p>
    <w:p>
      <w:r>
        <w:t>5.</w:t>
      </w:r>
    </w:p>
    <w:p>
      <w:r>
        <w:t>5.1 In materieller Hinsicht rügt der Beschwerdeführer, die Sachverhaltsdarstel- lung des Rechtshilfegesuchs sei fehlerhaft. Die ersuchende Behörde sei der irrigen Auffassung, die von D. veranlasste Zahlung von DEM 200'000.-- auf sein Konto sei verdächtig. Nun werde er von den griechischen Behör- den als mutmasslicher Täter in der „F.-Bestechungsaffäre“ dargestellt. Im Rechtshilfeersuchen würden D. Bestechungs- und Geldwäschereidelikte vorgeworfen, obwohl gegen diesen D. bislang keinerlei strafrechtliche An- schuldigungen erhoben worden seien. Diese falsche Sachverhaltsfeststel- lung sei treuwidrig und der Rechtshilferichter sei mit Hinweis auf die bun- desgerichtliche Praxis (BGE 132 II 81 E. 2.1) nicht daran gebunden.</w:t>
      </w:r>
    </w:p>
    <w:p>
      <w:r>
        <w:t>5.2 Das Rechtshilfeersuchen muss insbesondere Angaben über den Gegen- stand und den Grund des Ersuchens umfassen (Art. 14 Ziff. 1 lit. b EUeR). Ausserdem muss das Ersuchen in Fällen wie hier die strafbare Handlung bezeichnen und eine kurze Darstellung des Sachverhalts enthalten (Art. 14 Ziff. 2 EUeR). Art. 28 Abs. 2 und 3 IRSG i.V.m. Art. 10 IRSV und Art. 27 GwUe stellen entsprechende Anforderungen an das Rechtshilfeer-</w:t>
      </w:r>
    </w:p>
    <w:p>
      <w:r>
        <w:t>- 7 -</w:t>
      </w:r>
    </w:p>
    <w:p>
      <w:r>
        <w:t>suchen. Diese Angaben müssen der ersuchten Behörde die Prüfung erlau- ben, ob die doppelte Strafbarkeit gegeben ist (Art. 5 Ziff. 1 lit. a EUeR), ob die Handlungen wegen denen um Rechtshilfe ersucht wird, nicht ein politi- sches oder fiskalisches Delikt darstellen (Art. 2 lit. a EUeR) und ob der Grundsatz der Verhältnismässigkeit gewahrt wird (BGE 129 II 97 E. 3.1 S. 98 m.w.H.).</w:t>
      </w:r>
    </w:p>
    <w:p>
      <w:r>
        <w:t>5.3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vom 30. August 2006, E. 2.1; TPF 2007 150 E. 3.2.4).</w:t>
      </w:r>
    </w:p>
    <w:p>
      <w:r>
        <w:t>5.4 So weit sich der Beschwerdeführer darauf beruft, das Rechtshilfeersuchen bezeichne D. fälschlicherweise als Angeklagten im erwähnten griechischen Strafverfahren, kann ihm nicht gefolgt werden. Die griechischen Untersu- chungsbehörden bestätigen mit Schreiben vom 31. März 2009 gegenüber der Beschwerdegegnerin, dass D. leitender Angelstellter der I. und im grie- chischen Strafverfahren angeklagt worden sei (act. 8.3). Die Sachdarstel- lung im Ersuchen ist weder mit offensichtlichen Fehlern, noch mit Lücken oder Widersprüchen behaftet, weshalb der Rechtshilferichter an die Sach- darstellung im Ersuchen gebunden ist. Die Rüge der fehlerhaften Sachver- haltsfeststellung erweist sich im Lichte der in E. 5.3 zitierten Rechtspre- chung als unbegründet.</w:t>
      </w:r>
    </w:p>
    <w:p>
      <w:r>
        <w:t>- 8 -</w:t>
      </w:r>
    </w:p>
    <w:p>
      <w:r>
        <w:t>6.</w:t>
      </w:r>
    </w:p>
    <w:p>
      <w:r>
        <w:t>6.1 Der Beschwerdeführer macht weiter geltend, es fehle an einem hinreichen- den „Anfangsverdacht“ dafür, dass die Gegenstand des vorliegenden Ver- fahrens bildende Zahlung von D. verdächtig sein solle. D. sei nie in Grie- chenland als mutmasslicher Täter einvernommen worden. Zudem würden keine Gründe vorliegen, welche die Überweisung der DEM 200'000.-- von D. an den Beschwerdeführer verdächtig erscheinen liessen. Allein aus der Tatsache, dass gemäss Rechtshilfeersuchen gewisse Mitarbeiter der F. AG illegale Geldzahlungen über Konti von Schweizer Banken abgewickelt hät- ten, dürfe nicht geschlossen werden, dass sämtliche Zahlungen ehemaliger F.-Angestellter verdächtig seien. Überdies habe sich der Beschwerdeführer nicht als „Durchlaufstation“ für illegale Gelder zur Verfügung gestellt, um deren Herkunft zu verbergen. Schliesslich sei der Beschwerdeführer auch nie als Staatsbeamter oder Mitarbeiter der E. AG oder der F. AG tätig ge- wesen. Damit genüge das Rechtshilfeersuchen nicht den rechtlichen Vor- gaben von Art. 28 IRSG bzw. Art. 10 IRSV und verletze Bundesrecht i.S.v. Art. 80i Abs. 1 lit. a IRSG.</w:t>
      </w:r>
    </w:p>
    <w:p>
      <w:r>
        <w:t>6.2 Mit Bezug auf die formellen und materiellen Anforderungen an ein Rechts- hilfeersuchen im Allgemeinen sowie an die Sachverhaltsdarstellung im Be- sonderen kann auf die in E. 5.2 und 5.3 dargestellte Praxis verwiesen wer- den.</w:t>
      </w:r>
    </w:p>
    <w:p>
      <w:r>
        <w:t>6.3 Gemäss der Sachverhaltsdarstellung im griechischen Rechtshilfeersuchen hat die F. AG am 15. Dezember 1997 mit der Fernmeldeanstalt E. AG den Rahmenvertrag mit der Nummer 2 unterzeichnet. Gegenstand des Ver- tragswerks ist die Lieferung von Material und damit zusammenhängender Dienstleistungen, welche im Kontext mit der Digitalisierung des E. -Netzes stehen. Aufgrund des Rahmenvertrags seien in den darauf folgenden Jah- ren 6 Aufträge im Gesamtvolumen von rund EUR 700 Millionen vergeben worden. Leitende Angestellte der F. AG – darunter auch D. – hätten über so genannte „schwarze Kassen“ der F. AG verfügt, welche sie zur Beste- chung von E. -Angestellten und Staatsbeamten verwendet hätten. So sei es verschiedentlich zu Überweisungen von hohen Geldbeträgen gekom- men, wobei die Zahlungen auch über Schweizer Banken abgewickelt wor- den seien. Am 2. November 1998 habe D. die Summe von DEM 200'000.-- von dem auf den Namen J. lautenden Konto Nr. 3 bei der Bank K. AG Zü- rich auf das Konto Nr. 1 bei der Bank G. LTD überwiesen. Begünstigte Per- son dieser Überweisung sei der Beschwerdeführer gewesen (act. 8.1).</w:t>
      </w:r>
    </w:p>
    <w:p>
      <w:r>
        <w:t>6.4 Entgegen den Behauptungen des Beschwerdeführers ist D. als leitender F.-Angestellter in Griechenland der Bestechung und Geldwäscherei ange-</w:t>
      </w:r>
    </w:p>
    <w:p>
      <w:r>
        <w:t>- 9 -</w:t>
      </w:r>
    </w:p>
    <w:p>
      <w:r>
        <w:t>klagt (E. 5.2-5.4). Die Gesuchstellerin hat ihrem Ersuchen ausreichend substantiierte Sachverhaltselemente zu Grunde gelegt und damit rechtsge- nüglich aufgezeigt, weshalb die Zahlung von D. an den Beschwerdeführer verdächtig sein könnte (E. 6.3). Die Sachverhaltsdarstellung im Rechthilfe- ersuchen ist weder unklar noch widersprüchlich und genügt den gesetzli- chen Anforderungen von Art. 14 Ziff. 2 EUeR, weshalb das Gericht daran gebunden ist (E. 5.4). Die Rüge des Beschwerdeführers geht fehl.</w:t>
      </w:r>
    </w:p>
    <w:p>
      <w:r>
        <w:t>7.</w:t>
      </w:r>
    </w:p>
    <w:p>
      <w:r>
        <w:t>7.1 Der Beschwerdeführer rügt mehrfach, das Rechtshilfeersuchen verletze das Verhältnismässigkeitsprinzip. Er stützt sich hierbei auf die in E. 5.1 und 6.1 genannten Argumente und macht zudem geltend, es fehle am erforder- lichen Konnex zwischen dem untersuchten Sachverhalt und den Kontoun- terlagen. Das Rechtshilfeersuchen stelle eine „fishing expedition“ dar, um nachträglich einen Tatverdacht zu begründen. Ferner würde die Bekannt- gabe seines Namens in Griechenland zu Persönlichkeitsverletzungen durch die Presse führen.</w:t>
      </w:r>
    </w:p>
    <w:p>
      <w:r>
        <w:t>7.2 Rechtshilfemassnahmen haben generell dem Prinzip der Verhältnismä- ssigkeit zu genügen (ROBERT ZIMMERMANN, a.a.O., S. 669 f. N. 715 mit Verweisen auf die Rechtsprechung; TPF RR.2007.64 vom 3. September 2007 E. 3.2).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(zum Ganzen BGE 122 II 367 E. 2c S. 371; 121 II 241 E. 3a S. 242 f.; 115 Ib 517 E. 7d S. 534; Entschei- de des Bundesstrafgerichts RR.2008.212 vom 3. April 2009 und RR.2007.24 vom 8. Mai 2007 E. 4.1). Nach bundesgerichtlicher Rechtspre- chung ist beim Entscheid über die Herausgabe edierter Akten auf deren po- tentielle Erheblichkeit für das ausländische Strafverfahren abzustellen. Den ausländischen Strafverfolgungsbehörden sind all jene Aktenstücke zu übermitteln, die sich möglicherweise auf den im Rechtshilfeersuchen dar- gestellten Sachverhalt beziehen können; nicht zu übermitteln sind nur die- jenigen Akten, die für das ausländische Strafverfahren mit Sicherheit nicht erheblich sind (BGE 122 II 367 E. 2c S. 371 mit Hinweisen).</w:t>
      </w:r>
    </w:p>
    <w:p>
      <w:r>
        <w:t>- 10 -</w:t>
      </w:r>
    </w:p>
    <w:p>
      <w:r>
        <w:t>7.3 D. ist als leitender F.-Angestellter in Griechenland der Bestechung und Geldwäscherei angeklagt (act. 8.3). Die Überweisung der DEM 200'000.-- an den Beschwerdeführer erfolgte am 2. November 1998 und fiel damit in die Zeit kurz nach Abschluss des Rahmenvertrags, als mit der Ausführung der 6 Teilaufträge begonnen wurde. Es besteht folglich ein enger zeitlicher Konnex zwischen der Banküberweisung und dem von den Tatvorwürfen er- fassten Deliktszeitraum. Ein rechtsgenüglicher sachlicher Konnex ergibt sich ferner aus der Tatsache, dass D. als einer der tatverdächtigen F.- Angestellten die DEM 200'000.-- an den Beschwerdeführer überwies. Die Untersuchung der Tatvorwürfe Bestechung und Geldwäscherei erfordert naturgemäss eine umfassende Abklärung des gesamten vom Verdächtig- ten ausgelösten Zahlungsverkehrs und dessen Dokumentation. So können Banküberweisungen erst nach Offenlegung des gesamten „paper trails“ als verdächtig oder unbedenklich qualifiziert werden. Nachdem die Banküber- weisung des tatverdächtigen D. an den Beschwerdeführer in zeitlicher Hin- sicht mit den Tatvorwürfen gegen den erstgenannten koinzidiert, sind die edierten Kontounterlagen als potentiell erheblich für das Strafverfahren zu qualifizieren. Die Beschwerde erweist sich demnach auch in diesem Punkt als unbegründet.</w:t>
      </w:r>
    </w:p>
    <w:p>
      <w:r>
        <w:t>7.4 Was die vom Beschwerdeführer geltend gemachte drohende Persönlich- keitsverletzung durch griechische Medien anbelangt, so beschränkt sich die Beschwerdeschrift auf unbelegte Mutmassungen und Behauptungen. Selbst wenn der Name des Beschwerdeführers in den griechischen Medien im Zusammenhang mit dem „F. Skandal“ genannt würde, wären dessen Persönlichkeitsrechte nicht dergestalt beeinträchtigt, dass dies der rechts- hilfeweisen Herausgabe der Kontounterlangen entgegenstände.</w:t>
      </w:r>
    </w:p>
    <w:p>
      <w:r>
        <w:t>8. Der Beschwerdeführer rügt schliesslich in prozessualer Hinsicht eine Ver- letzung seines Anspruchs auf rechtliches Gehör. Die Beschwerdegegnerin habe es unterlassen in der Schlussverfügung darzulegen, inwiefern die Überweisung von DEM 200'000.-- durch D. auf das Konto des Beschwer- deführers einen rechtshilfefähigen Bestechungs- bzw. Geldwäschereitatbe- stand darstelle.</w:t>
      </w:r>
    </w:p>
    <w:p>
      <w:r>
        <w:t>8.1 Mit Bezug auf die rechtlichen Grundlagen und Praxis zum Anspruch auf rechtliches Gehör im Allgemeinen kann auf das in E. 3.2 gesagte verwie- sen werden. Hinsichtlich des Begründungserfordernisses verpflichtet Art. 29 Abs. 2 BV die verfügende Behörde, die Vorbringen der Parteien tat- sächlich zu hören, sorgfältig und ernsthaft zu prüfen und in der Entscheid- findung zu berücksichtigen. Die Begründungspflicht steht im Dienste der</w:t>
      </w:r>
    </w:p>
    <w:p>
      <w:r>
        <w:t>- 11 -</w:t>
      </w:r>
    </w:p>
    <w:p>
      <w:r>
        <w:t>Akzeptanz der Verfügung, ermöglicht erst eine sachgerechte Anfechtung und vermittelt der Rechtsmittelbehörde ein Bild über die Tragweite des er- gangenen Entscheides. In diesem Sinne müssen wenigstens kurz die Überlegungen genannt werden, von denen sich die Behörde leiten liess und auf welche sich ihr Entscheid stützt (BGE 129 I 232 E. 3.2 und 3.4 S. 236 ff. mit Hinweisen). Die Behörde darf sich auf die wesentlichen Ge- sichtspunkte und Leitlinien beschränken und braucht sich nicht mit jedem sachverhaltlichen oder rechtlichen Einwand auseinanderzusetzen (BGE 133 III 439 E. 3.3 S. 445 mit Hinweisen).</w:t>
      </w:r>
    </w:p>
    <w:p>
      <w:r>
        <w:t>8.2 Diesen Anforderungen wird die angefochtene Schlussverfügung gerecht, indem sie nachvollziehbar darlegt, aus welchen Überlegungen sie zu ihrem Entscheid, die Rechtshilfe zu gewähren, gelangt. Namentlich wird klar, dass die verfügende Behörde das Rechtshilfeersuchen im Rahmen einer umfangreichen griechischen Strafuntersuchung wegen Korruption und Geldwäscherei gewürdigt und aufgrund des engen sachlichen und zeitli- chen Konnexes von Banküberweisung und Tatvorwürfen die Vorausset- zungen nach Art. 63 ff. IRSG bejaht hat. Eine Verletzung des Anspruchs auf rechtliches Gehör liegt damit nicht vor.</w:t>
      </w:r>
    </w:p>
    <w:p>
      <w:r>
        <w:t>8.3 Nach der Rechtsprechung könnte im Übrigen eine Verletzung des rechtli- chen Gehörs geheilt werden, wenn eine Beschwerdeinstanz, die, wie die II. Beschwerdekammer des Bundesstrafgerichts, über die gleiche Überprü- fungsbefugnis wie die ausführende Behörde verfügt, ihren Entscheid aus- reichend begründet (vgl. BGE 124 II 132 E. 2d S. 138 mit Hinweisen; TPF RR.2007.24 vom 8. Mai 2007 E. 3.3 und 3.4; ROBERT ZIMMERMANN, a.a.O., S. 307 N. 265). Ein allfälliger Mangel wäre mit dem vorliegenden Entscheid jedenfalls geheilt worden.</w:t>
      </w:r>
    </w:p>
    <w:p>
      <w:r>
        <w:t>9. Zusammenfassend ergibt sich, dass die Beschwerde in ihrer Gesamtheit als unbegründet abzuweisen ist.</w:t>
      </w:r>
    </w:p>
    <w:p>
      <w:r>
        <w:t>10.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5'000.-- anzusetzen (Art. 3 des Reglements), unter Anrechnung des geleisteten Kostenvorschusses in gleicher Höhe.</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