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RR.2009.160 vom 20. Mai 2009</w:t>
      </w:r>
    </w:p>
    <w:p>
      <w:r>
        <w:t>Bundesstrafgericht, 2009-05-20, DE</w:t>
      </w:r>
    </w:p>
    <w:p>
      <w:r>
        <w:rPr>
          <w:b/>
        </w:rPr>
        <w:t xml:space="preserve">Quelle: </w:t>
      </w:r>
      <w:r>
        <w:t>https://mcp.opencaselaw.ch/entscheid/bstger_RR.2009.160</w:t>
      </w:r>
    </w:p>
    <w:p>
      <w:r>
        <w:t>FR: TPF RR.2009.160 du 20 mai 2009</w:t>
      </w:r>
    </w:p>
    <w:p>
      <w:r>
        <w:t>IT: TPF RR.2009.160 del 20 maggio 2009</w:t>
      </w:r>
    </w:p>
    <w:p>
      <w:pPr>
        <w:pStyle w:val="Heading2"/>
      </w:pPr>
      <w:r>
        <w:t>Regeste</w:t>
      </w:r>
    </w:p>
    <w:p>
      <w:r>
        <w:t>Auslieferung an Deutschland Beschwerde gegen Auslieferungshaftbefehl (Art. 48 Abs. 2 IRSG)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November 1950 zum Schutze der Menschenrechte und Grundfreiheiten oder im Internationalen Pakt vom 16. Dezember 1966 über bürgerliche und politische Rechte festgelegten Verfahrensgrundsätzen nicht entspricht; - solche Verstösse vorliegend nicht ersichtlich sind, sich in den Akten und Ausführungen des Beschwerdeführers insbesondere auch keine Anhalts- punkte finden, aus denen sich eine offensichtliche Unzuständigkeit bzw. Unzulässigkeit des vorliegend urteilenden deutschen Gerichtes ergäbe, dies zudem nicht im vorliegenden Haftverfahren geprüft wird, sondern, wenn überhaupt, im eigentlichen Auslieferungsverfahren;</w:t>
      </w:r>
    </w:p>
    <w:p>
      <w:r>
        <w:t>- 5 -</w:t>
      </w:r>
    </w:p>
    <w:p>
      <w:r>
        <w:t>- der Beschwerdeführer damit keine Gründe im Sinne der obgenannten Rechtsprechung und den gesetzlichen Regelungen geltend macht, welche eine Haftentlassung rechtfertigen könnten und solche auch nicht ersichtlich sind; - der Beschwerdeführer im zur Zeit ebenfalls beim Bundesstrafgericht hängi- gen Verfahren betreffend Auslieferungsentscheid ein Gesuch um unentgelt- liche Rechtspflege gestellt hat, nicht so jedoch im vorliegenden Verfahren betreffend Auslieferungshaftentscheid; - solch ein Gesuch ohnehin abzuweisen gewesen wäre, da die vorliegende Beschwerde nach dem Gesagten als offensichtlich unbegründet und daher als aussichtslos zu qualifizieren ist; - der Beschwerdeführer bei diesem Ausgang des Verfahrens kostenpflichtig wird (Art. 63 Abs. 1 VwVG i.V.m. Art. 30 lit. b SGG), sich die Zuständigkeit des Bundesstrafgerichts zur Regelung der Gerichtsgebühren, welche in Art. 63 Abs. 5 VwVG nicht ausdrücklich vorbehalten wurde, aus Art. 15 Abs. 1 lit. a SGG ergibt (vgl. TPF RR.2007.6 vom 22. Februar 2007 E. 5), sich die reduzierte Gerichtsgebühr in Anwendung von Art. 3 des Regle- ments vom 11. Februar 2004 über die Gerichtsgebühren vor dem Bundes- strafgericht (SR 173.711.32) berechnet und vorliegend auf Fr. 1'000.00 festzusetzen ist.</w:t>
      </w:r>
    </w:p>
    <w:p>
      <w:r>
        <w:t>- 6 -</w:t>
      </w:r>
    </w:p>
    <w:p>
      <w:r>
        <w:t>Demnach erkennt die II. Beschwerdekammer: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