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RR.2009.133 vom 18. Mai 2009</w:t>
      </w:r>
    </w:p>
    <w:p>
      <w:r>
        <w:t>Bundesstrafgericht, 2009-05-18, DE</w:t>
      </w:r>
    </w:p>
    <w:p>
      <w:r>
        <w:rPr>
          <w:b/>
        </w:rPr>
        <w:t xml:space="preserve">Quelle: </w:t>
      </w:r>
      <w:r>
        <w:t>https://mcp.opencaselaw.ch/entscheid/bstger_RR.2009.133</w:t>
      </w:r>
    </w:p>
    <w:p>
      <w:r>
        <w:t>FR: TPF RR.2009.133 du 18 mai 2009</w:t>
      </w:r>
    </w:p>
    <w:p>
      <w:r>
        <w:t>IT: TPF RR.2009.133 del 18 maggio 2009</w:t>
      </w:r>
    </w:p>
    <w:p>
      <w:pPr>
        <w:pStyle w:val="Heading2"/>
      </w:pPr>
      <w:r>
        <w:t>Regeste</w:t>
      </w:r>
    </w:p>
    <w:p>
      <w:r>
        <w:t>Auslieferung an Deutschland. Nachtragsersuchen (Art. 55 IRSG).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April 2009 per Post erfolgte Zustellung des Schreibens vom 17. April 2009 an seine Rechtsvertreterin gegen sich gelten lassen muss; seither das Schreiben vom 17. April 2009 als dem Beschwerdeführer zugestellt gilt; es bei dieser Sachlage keine Rolle spielt, wann dieses Schreiben dem Beschwerdeführer tatsächlich weiter geleitet wurde;</w:t>
      </w:r>
    </w:p>
    <w:p>
      <w:r>
        <w:t>- dem Beschwerdeführer damit ausreichend Zeit eingeräumt wurde, um bis am 4. Mai 2009 die Bezahlung des Kostenvorschusses und die Bezeich- nung eines Zustelldomizils in der Schweiz zu veranlassen oder andere, ihm gut scheinende Vorkehrungen zu treffen;</w:t>
      </w:r>
    </w:p>
    <w:p>
      <w:r>
        <w:t>- der Beschwerdeführer demnach das Fristerstreckungsgesuch spätestens am 4. Mai 2009 der II. Beschwerdekammer einzureichen oder zu deren Handen der schweizerischen Post zu übergeben gehabt hätte (Art. 22 Abs. 2 und Art. 21 Abs. 1 VwVG i.V.m. Art. 30 lit. b SGG);</w:t>
      </w:r>
    </w:p>
    <w:p>
      <w:r>
        <w:t>- nach dem Gesagten feststeht, dass das vom 5. Mai 2009 datierte Frist- erstreckungsgesuch verspätet gestellt wurde, weshalb darauf nicht einzu- treten ist; im Übrigen das Gesuch des Beschwerdeführers mangels zurei- chender Gründe abzuweisen gewesen wäre;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21 Abs. 3 VwVG i.V.m. Art. 30 lit. b SGG);</w:t>
      </w:r>
    </w:p>
    <w:p>
      <w:r>
        <w:t>- der Beschwerdeführer den verlangten Kostenvorschuss innerhalb der er- streckten Frist nicht bezahlt und weder um Zahlungserleichterungen noch um Gewährung der unentgeltlichen Rechtspflege ersucht hat; ebenso we- nig hat er – wie vorstehend erläutert – das Fristerstreckungsgesuch, das überdies keine zureichenden Gründe enthielt, innerhalb der bereits einmal erstreckten Frist eingereicht;</w:t>
      </w:r>
    </w:p>
    <w:p>
      <w:r>
        <w:t>- 5 -</w:t>
      </w:r>
    </w:p>
    <w:p>
      <w:r>
        <w:t>- auf die Beschwerde daher androhungsgemäss nicht einzutreten ist (Art. 63 Abs. 4 VwVG i.V.m. Art. 30 lit. b SGG);</w:t>
      </w:r>
    </w:p>
    <w:p>
      <w:r>
        <w:t>- es sich vorliegend rechtfertigt, auf die Erhebung einer Gerichtsgebühr zu verzichten (Art. 63 Abs. 1 Satz VwVG i.V.m. Art. 30 lit. b SGG);</w:t>
      </w:r>
    </w:p>
    <w:p>
      <w:r>
        <w:t>- der Beschwerdeführer auch der Aufforderung, in der Schweiz ein Zustell- domizil zu bezeichnen, nicht nachgekommen ist, weshalb ihm dieser Ent- scheid androhungsgemäss nicht formell zu eröffnen ist und die Zustellung an ihn anstelle dessen ad acta erfolgt (vgl. auch Art. 80m lit. b IRSG i.V.m. Art. 9 IRSV).</w:t>
      </w:r>
    </w:p>
    <w:p>
      <w:r>
        <w:t>- 6 -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