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 vom 16. März 2009</w:t>
      </w:r>
    </w:p>
    <w:p>
      <w:r>
        <w:t>Bundesstrafgericht, 2009-03-16, FR</w:t>
      </w:r>
    </w:p>
    <w:p>
      <w:r>
        <w:rPr>
          <w:b/>
        </w:rPr>
        <w:t xml:space="preserve">Quelle: </w:t>
      </w:r>
      <w:r>
        <w:t>https://mcp.opencaselaw.ch/entscheid/bstger_RR.2009.13</w:t>
      </w:r>
    </w:p>
    <w:p>
      <w:r>
        <w:t>FR: TPF RR.2009.13 du 16 mars 2009</w:t>
      </w:r>
    </w:p>
    <w:p>
      <w:r>
        <w:t>IT: TPF RR.2009.13 del 16 marzo 2009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 convention, entré en vigueur le 1er juin 2003 (RS 0.351.945.41; ci-après: l’Accord bilatéral).</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 l’Italie, sont également pertinents les art. 48 ss de la Convention d’application de l’Accord Schengen du 14 juin 1985 (ci-après: CAAS) entre les gouvernements des Etats de l’Union économique Benelux, de la Répu-</w:t>
      </w:r>
    </w:p>
    <w:p>
      <w:r>
        <w:t>- 4 -</w:t>
      </w:r>
    </w:p>
    <w:p>
      <w:r>
        <w:t>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d’écritures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OEIMP, est no- tamment réputé personnellement et directement touché au sens de ces dispositions le titulaire d'un compte bancaire dont les pièces sont saisies (let. a), le propriétaire ou le locataire qui doit se soumettre personnellement à une perquisition ou à une saisie (let. b; ATF 118 Ib 442 consid. 2c, concernant la saisie de documents en mains d'une banque; ATF 121 II 38, concernant la remise du dossier d'une procédure civile à laquelle l'intéressé est partie) et le détenteur en cas de mesures concernant un véhicule à mo- teur (let. c). La jurisprudence constante dénie en revanche cette qualité au détenteur économique d'un compte bancaire visé par la demande, ou à l'auteur de documents saisis en mains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ainsi que TPF RR.2007.79 du 21 mai 2007, consid. 1.6).</w:t>
      </w:r>
    </w:p>
    <w:p>
      <w:r>
        <w:t>- 5 -</w:t>
      </w:r>
    </w:p>
    <w:p>
      <w:r>
        <w:t>Dans l'ATF 128 II 211 consid. 2.2 p. 216-217, le Tribunal fédéral a jugé que l'établissement bancaire n'a pas qualité pour recourir contre la transmission de documents relatifs à un compte détenu par un client, dans la mesure où ces documents ne contiennent pas d’information sur la gestion, par la ban- que, de ses propres affaires. Plus récemment, la Haute Cour fédérale a précisé que le cas des avocats et des fiduciaires devait en principe être ré- glé différemment de celui des banques. Ces dernières offrent en effet à leurs clients certaines prestations liées à l'ouverture et à l'utilisation de comptes, sans forcément intervenir activement dans la gestion de ces der- niers; en revanche, lorsque des avocats ou des fiduciaires détiennent des documents bancaires, c’est généralement en raison d'un mandat qui les lie à leur client, pour lequel ils déploient une activité propre; par conséquent, s’il y a ordinairement lieu de présumer que les documents saisis auprès d'une banque ne concernent pas sa propre gestion, il faut partir du présup- posé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l'autorité d'exécution au moment de notifier ses décisions (arrêt du Tribunal fédéral 1A.293/2004 du 18 mars 2005, consid. 2.3).</w:t>
      </w:r>
    </w:p>
    <w:p>
      <w:r>
        <w:rPr>
          <w:b/>
        </w:rPr>
        <w:t>E. 2.2</w:t>
      </w:r>
    </w:p>
    <w:p>
      <w:r>
        <w:t>Rien ne justifie de s’écarter en l’espèce des principes dégagés par la juris- prudence constante selon laquelle la personne concernée par des docu- ments saisis en mains tierces n'a pas qualité pour agir, quand bien même ces documents contiennent des informations à son sujet (v. TPF RR.2007.101 du 12 juillet 2007, consid. 2; ATF 130 II 162 consid. 1.1 p. 164 et la jurisprudence citée). Le fait que la recourante ait la qualité de mandante de la société fiduciaire saisie ne lui confère donc pas la qualité pour recourir, alors même que certains documents bancaires relatifs à ses comptes ont été saisis en mains de la fiduciaire en question (TPF RR.2008.126-129 du 24 juillet 2008, consid. 2.2).</w:t>
      </w:r>
    </w:p>
    <w:p>
      <w:r>
        <w:rPr>
          <w:b/>
        </w:rPr>
        <w:t>E. 2.3</w:t>
      </w:r>
    </w:p>
    <w:p>
      <w:r>
        <w:t>Vu ce qui précède, le recours doit être déclaré irrecevable, sans qu’il y ait lieu d’examiner l’argumentation soulevée au fond.</w:t>
      </w:r>
    </w:p>
    <w:p>
      <w:r>
        <w:rPr>
          <w:b/>
        </w:rPr>
        <w:t>E. 3</w:t>
      </w:r>
    </w:p>
    <w:p>
      <w:r>
        <w:t>Les frais de procédure sont mis à la charge de la recourante qui succombe (art. 63 al. 1 PA, applicable par renvoi de l’art. 30 let. b LTPF). Il se justifie en l’espèce de réduire l’émolument judiciaire au motif, d’une part, que le recours a été déclaré irrecevable sans que la Cour de céans n’ait eu à se pencher sur le fond et, d’autre part, que l’état de fait à l’origine de la pré-</w:t>
      </w:r>
    </w:p>
    <w:p>
      <w:r>
        <w:t>- 6 -</w:t>
      </w:r>
    </w:p>
    <w:p>
      <w:r>
        <w:t>sente cause est connexe à celui de la cause RR.2008.311. Calculé conformément à l’art. 3 du Règlement du 11 février 2004 fixant les émolu- ments judiciaires perçus par le Tribunal pénal fédéral (RS 173.711.32; TPF RR.2007.26 du 9 juillet 2007, consid. 9.1), l’émolument réduit est fixé à Fr. 2’500.--, couvert par l’avance de frais de Fr. 5'000.-- déjà versée. Le solde de l’avance effectuée par la recourante, soit Fr. 2'500.--, lui sera par conséquent restitué.</w:t>
      </w:r>
    </w:p>
    <w:p>
      <w:r>
        <w:t>- 7 -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