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RR.2009.112 vom 18. Mai 2009</w:t>
      </w:r>
    </w:p>
    <w:p>
      <w:r>
        <w:t>Bundesstrafgericht, 2009-05-18, DE</w:t>
      </w:r>
    </w:p>
    <w:p>
      <w:r>
        <w:rPr>
          <w:b/>
        </w:rPr>
        <w:t xml:space="preserve">Quelle: </w:t>
      </w:r>
      <w:r>
        <w:t>https://mcp.opencaselaw.ch/entscheid/bstger_RR.2009.112</w:t>
      </w:r>
    </w:p>
    <w:p>
      <w:r>
        <w:t>FR: TPF RR.2009.112 du 18 mai 2009</w:t>
      </w:r>
    </w:p>
    <w:p>
      <w:r>
        <w:t>IT: TPF RR.2009.112 del 18 maggio 2009</w:t>
      </w:r>
    </w:p>
    <w:p>
      <w:pPr>
        <w:pStyle w:val="Heading2"/>
      </w:pPr>
      <w:r>
        <w:t>Regeste</w:t>
      </w:r>
    </w:p>
    <w:p>
      <w:r>
        <w:t>Internationale Rechtshilfe an Deutschland Aufhebung der Kontosperre (Art. 33a IRSV)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Februar 2009 betreffend Aufhebung bzw. teilweise Aufrechterhaltung der Kontosperre zwecks Durchführung des Exequaturverfahrens erheben lässt (act. 1);</w:t>
      </w:r>
    </w:p>
    <w:p>
      <w:r>
        <w:t>- der Beschwerdeführer am 31. März 2009 über seinen Rechtsvertreter ein- geladen wurde, bis zum 14. April 2009 einen Kostenvorschuss von Fr. 3'000.-- zu leisten und darauf aufmerksam gemacht wurde, dass bei Säumnis auf die Beschwerde nicht eingetreten werde; er zudem aufgefor- dert wurde, bis zum gleichen Datum in der Schweiz ein Zustelldomizil zu bezeichnen, ansonsten weitere Zustellungen durch das Bundesstrafgericht grundsätzlich unterbleiben und insbesondere der Schlussentscheid nicht zugestellt werde;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30 lit. b SGG);</w:t>
      </w:r>
    </w:p>
    <w:p>
      <w:r>
        <w:t>- der Beschwerdeführer den verlangten Kostenvorschuss innert Frist nicht bezahlt hat und weder um Zahlungserleichterungen noch um die Gewäh- rung der unentgeltlichen Rechtspflege ersucht hat;</w:t>
      </w:r>
    </w:p>
    <w:p>
      <w:r>
        <w:t>- auf die Beschwerde daher androhungsgemäss nicht einzutreten ist (Art. 63 Abs. 4 VwVG i.V.m. Art. 30 lit. b SGG);</w:t>
      </w:r>
    </w:p>
    <w:p>
      <w:r>
        <w:t>- es sich vorliegend rechtfertigt, auf die Erhebung einer Gerichtsgebühr zu verzichten (Art. 63 Abs. 1 Satz 3 VwVG i.V.m. Art. 30 lit. b SGG);</w:t>
      </w:r>
    </w:p>
    <w:p>
      <w:r>
        <w:t>- eine Partei, die im Ausland wohnt, gemäss Art. 80m lit. b IRSG i.V.m. Art. 9 IRSV ein Zustelldomizil in der Schweiz bezeichnen muss, ansonsten die Zustellung unterbleiben kann;</w:t>
      </w:r>
    </w:p>
    <w:p>
      <w:r>
        <w:t>- der Beschwerdeführer der Aufforderung vom 31. März 2009 nach der Be- zeichnung eines Zustelldomizils in der Schweiz nicht nachgekommen ist, weshalb dieser Entscheid ihm androhungsgemäss nicht formell eröffnet</w:t>
      </w:r>
    </w:p>
    <w:p>
      <w:r>
        <w:t>- 4 -</w:t>
      </w:r>
    </w:p>
    <w:p>
      <w:r>
        <w:t>wird und die Zustellung an den Beschwerdeführer anstelle dessen ad acta erfolgt.</w:t>
      </w:r>
    </w:p>
    <w:p>
      <w:r>
        <w:t>- 5 -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