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RR.2008.93 vom 8. Oktober 2008</w:t>
      </w:r>
    </w:p>
    <w:p>
      <w:r>
        <w:t>Bundesstrafgericht, 2008-10-08, FR</w:t>
      </w:r>
    </w:p>
    <w:p>
      <w:r>
        <w:rPr>
          <w:b/>
        </w:rPr>
        <w:t xml:space="preserve">Quelle: </w:t>
      </w:r>
      <w:r>
        <w:t>https://mcp.opencaselaw.ch/entscheid/bstger_RR.2008.93</w:t>
      </w:r>
    </w:p>
    <w:p>
      <w:r>
        <w:t>FR: TPF RR.2008.93 du 8 octobre 2008</w:t>
      </w:r>
    </w:p>
    <w:p>
      <w:r>
        <w:t>IT: TPF RR.2008.93 del 8 ottobre 2008</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et 80k EIMP).</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 Le recours est interjeté en temps utile contre une décision de clôture prise par l’autorité fédérale d’exécution (art. 80e al.</w:t>
      </w:r>
    </w:p>
    <w:p>
      <w:r>
        <w:rPr>
          <w:b/>
        </w:rPr>
        <w:t>E. 1.2</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 se et le Royaume-Uni. L’EIMP et son ordonnance d’exécution (OEIMP; RS 351.11), restent applicables aux questions qui ne sont pas réglées, ex- plicitement ou implicitement, par les dispositions conventionnelles, ainsi que lorsqu’elles permettent l’octroi de l’entraide à des conditions plus favo- rables (ATF 130 II 337 consid. 1; 124 II 180 consid. 1a).</w:t>
      </w:r>
    </w:p>
    <w:p>
      <w:r>
        <w:t>- 4 -</w:t>
      </w:r>
    </w:p>
    <w:p>
      <w:r>
        <w:rPr>
          <w:b/>
        </w:rPr>
        <w:t>E. 2</w:t>
      </w:r>
    </w:p>
    <w:p>
      <w:r>
        <w:t>Dans le présent cas, il y a lieu de s’interroger sur la qualité pour agir de la société A. qui est contestée par l’OFJ.</w:t>
      </w:r>
    </w:p>
    <w:p>
      <w:r>
        <w:rPr>
          <w:b/>
        </w:rPr>
        <w:t>E. 2.1</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ATF 130 II 162 consid. 1.1). L’art. 9a OEIMP précise que sont en particulier réputés personnellement et directement touchés, au sens des art. 21 al. 3 et 80h EIMP, le titulaire d’un compte bancaire en cas d’informations sur celui-ci (let. a), et le propriétaire ou le locataire, en cas de perquisition (let. b). L’intérêt fondant la qualité pour agir peut être juridi- 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 déale. Le recours formé dans le seul intérêt de la loi ou d’un tiers est en re- vanche irrecevable (ATF 130 II 162 consid. 1.1; 128 II 211 consid. 2.3; 126 II 258 consid. 2d; 122 II 130 consid. 2a).</w:t>
      </w:r>
    </w:p>
    <w:p>
      <w:r>
        <w:rPr>
          <w:b/>
        </w:rPr>
        <w:t>E. 2.2</w:t>
      </w:r>
    </w:p>
    <w:p>
      <w:r>
        <w:t>S’agissant de la qualité pour s’opposer à la transmission de documents, elle n’appartient non pas à l’auteur de ceux-ci, ni aux personnes qui y sont mentionnées à un titre ou un autre, mais à celui en mains duquel a lieu la saisie (cf. art. 9a let. b OEIMP; ATF 130 II 162; arrêt du Tribunal fédéral 1A.36/2006 du 29 mai 2006, consid. 2.1). Cela vaut pour les pièces saisies en mains des avocats et des fiduciaires. La personne concernée par des documents saisis en mains tierces n’a pas qualité pour agir, quand bien même ces documents contiennent des informations à son sujet (ATF 130 II 162 consid. 1.1 p. 164 et la jurisprudence citée). Les avocats et fiduciaires sont donc seuls habilités à recourir en tant que personnes soumises à la mesure de perquisition (arrêts du Tribunal fédéral 1A.36/2006 du 29 mai 2006 et 1A.293/2005 du 18 mars 2005, consid. 2). Cette jurisprudence s’attache à ne pas étendre exagérément le cercle des personnes admises à s’opposer aux mesures d’entraide, et à simplifier autant que possible la tâche de l’autorité d’exécution au moment de notifier ses décisions (arrêt du Tribunal fédéral 1A.293/2004 du 18 mars 2005, consid. 2.3).</w:t>
      </w:r>
    </w:p>
    <w:p>
      <w:r>
        <w:rPr>
          <w:b/>
        </w:rPr>
        <w:t>E. 2.3</w:t>
      </w:r>
    </w:p>
    <w:p>
      <w:r>
        <w:t>Dans sa réplique, en référence à un arrêt RR.2007.52 du 13 juin 2007 de la Cour de céans, la recourante rétorque que l’ordonnance d’édition du MPC du 28 février 2007 a été adressée à Me H. en sa qualité d’administrateur de</w:t>
      </w:r>
    </w:p>
    <w:p>
      <w:r>
        <w:t>- 5 -</w:t>
      </w:r>
    </w:p>
    <w:p>
      <w:r>
        <w:t>la société A., lequel se serait exécuté en cette qualité. Sur la base de cette jurisprudence, la société A. aurait la qualité pour agir, comme en attesterait du reste le fait que la décision de clôture lui ait été notifiée. La recourante se fourvoie cependant en interprétant de la sorte l’arrêt susmentionné qui ne fait que confirmer la jurisprudence rappelée au considérant 2.2 ci- dessus selon laquelle seul le détenteur peut recourir contre la transmission de documents. Dans l’arrêt précité, contrairement au cas d’espèce, la do- cumentation saisie n’était pas en dépôt chez l’administrateur (voir consid. 3.1 et 3.3), raison pour laquelle la qualité pour recourir avait été déniée à ce dernier. Dans ce même arrêt, il était par ailleurs question d’une société suisse qui, à l’inverse de la recourante, disposait de locaux en Suisse au moment de la saisie. Cette société avait par la suite été dissoute, raison pour laquelle le tribunal de céans s’était demandé si l’administrateur pou- vait être considéré comme son ayant droit (cf. consid. 3.2). En l’espèce, rien ne justifie de s’écarter des principes dégagés par la juris- prudence constante et rappelée ci-dessus, selon laquelle la personne concernée par des documents saisis en mains tierces n’a pas qualité pour agir, quand bien même ces documents contiennent des informations à son sujet. N’étant qu’indirectement touchée par la mesure d’entraide, la société A. n’apparaît pas légitimée à s’opposer à la transmission des pièces remi- ses au MPC que Me H. détenait en son nom propre. Dans ces conditions, la décision aurait dû être notifiée à Me H. directement et non à la société A. à l’adresse de ce dernier. Ce nonobstant, dans la mesure où cet avocat avait connaissance de la décision, il pouvait sans au- tre former un recours en son nom propre. En omettant de le faire, il a pris un risque procédural qu’il lui incombe d’assumer. Le recours doit donc être déclaré irrecevable, sans qu’il y ait lieu d’examiner l’argumentation soulevée au fond.</w:t>
      </w:r>
    </w:p>
    <w:p>
      <w:r>
        <w:rPr>
          <w:b/>
        </w:rPr>
        <w:t>E. 3</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- 6 -</w:t>
      </w:r>
    </w:p>
    <w:p>
      <w:r>
        <w:t>Par ces motifs, la IIe Cour des plaintes prononce:</w:t>
      </w:r>
    </w:p>
    <w:p>
      <w:r>
        <w:t>1. Le recours est irrecevable.</w:t>
      </w:r>
    </w:p>
    <w:p>
      <w:r>
        <w:t>2. Un émolument judiciaire de Fr. 4000.--, couvert par l’avance de frais acquit- tée, est mis à la charge de la recourante.</w:t>
      </w:r>
    </w:p>
    <w:p>
      <w:r>
        <w:t>Bellinzone, le 8 octobre 2008</w:t>
      </w:r>
    </w:p>
    <w:p>
      <w:r>
        <w:t>Au nom de la IIe Cour des plaintes du Tribunal pénal fédéral</w:t>
      </w:r>
    </w:p>
    <w:p>
      <w:r>
        <w:t>La présidente:</w:t>
      </w:r>
    </w:p>
    <w:p>
      <w:r>
        <w:t>la greffière:</w:t>
      </w:r>
    </w:p>
    <w:p>
      <w:r>
        <w:t>Distribution</w:t>
      </w:r>
    </w:p>
    <w:p>
      <w:r>
        <w:t>- Me Cyril Abecassis, avocat,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