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RR.2008.92 vom 5. Juni 2008</w:t>
      </w:r>
    </w:p>
    <w:p>
      <w:r>
        <w:t>Bundesstrafgericht, 2008-06-05, FR</w:t>
      </w:r>
    </w:p>
    <w:p>
      <w:r>
        <w:rPr>
          <w:b/>
        </w:rPr>
        <w:t xml:space="preserve">Quelle: </w:t>
      </w:r>
      <w:r>
        <w:t>https://mcp.opencaselaw.ch/entscheid/bstger_RR.2008.92</w:t>
      </w:r>
    </w:p>
    <w:p>
      <w:r>
        <w:t>FR: TPF RR.2008.92 du 5 juin 2008</w:t>
      </w:r>
    </w:p>
    <w:p>
      <w:r>
        <w:t>IT: TPF RR.2008.92 del 5 giugno 2008</w:t>
      </w:r>
    </w:p>
    <w:p>
      <w:pPr>
        <w:pStyle w:val="Heading2"/>
      </w:pPr>
      <w:r>
        <w:t>Regeste</w:t>
      </w:r>
    </w:p>
    <w:p>
      <w:r>
        <w:t>Extradition à l'Allemagne Décision d'extradition (art. 55 EIMP)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mars 1981 (EIMP; RS 351.1);</w:t>
      </w:r>
    </w:p>
    <w:p>
      <w:r>
        <w:t>que le délai de recours contre la décision d’extradition est de 30 jours dès la communication écrite de la décision (art. 50 al. 1 PA, applicable par ren- voi de l’art. 30 let. b LTPF);</w:t>
      </w:r>
    </w:p>
    <w:p>
      <w:r>
        <w:t>que, ainsi que le reconnaît lui-même le mandataire du recourant, la déci- sion attaquée lui a été notifiée le 12 mars 2008;</w:t>
      </w:r>
    </w:p>
    <w:p>
      <w:r>
        <w:t>que le recourant invoque la suspension de délai prévue à l’art. 22a al. 1 let. a PA;</w:t>
      </w:r>
    </w:p>
    <w:p>
      <w:r>
        <w:t>qu’en vertu de l’art. 12 al. 2 EIMP, les dispositions fédérales et cantonales sur la suspension des délais ne sont pas applicables en matière d’entraide judiciaire et d’extradition (ATF 109 Ib 174 consid. 1b; ég. arrêt du Tribunal fédéral 1A.7/2004 du 19 janvier 2004);</w:t>
      </w:r>
    </w:p>
    <w:p>
      <w:r>
        <w:t>que le recours est par conséquent tardif et doit être déclaré irrecevable;</w:t>
      </w:r>
    </w:p>
    <w:p>
      <w:r>
        <w:t>que le recourant aurait dû se rendre compte que ses conclusions étaient d’emblée vouées à l’échec;</w:t>
      </w:r>
    </w:p>
    <w:p>
      <w:r>
        <w:t>que la demande d’assistance judiciaire doit par conséquent être rejetée;</w:t>
      </w:r>
    </w:p>
    <w:p>
      <w:r>
        <w:t>qu’il peut toutefois être renoncé à la perception de l’émolument judiciaire.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