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RR.2008.9 vom 5. Februar 2008</w:t>
      </w:r>
    </w:p>
    <w:p>
      <w:r>
        <w:t>Bundesstrafgericht, 2008-02-05, DE</w:t>
      </w:r>
    </w:p>
    <w:p>
      <w:r>
        <w:rPr>
          <w:b/>
        </w:rPr>
        <w:t xml:space="preserve">Quelle: </w:t>
      </w:r>
      <w:r>
        <w:t>https://mcp.opencaselaw.ch/entscheid/bstger_RR.2008.9</w:t>
      </w:r>
    </w:p>
    <w:p>
      <w:r>
        <w:t>FR: TPF RR.2008.9 du 5 février 2008</w:t>
      </w:r>
    </w:p>
    <w:p>
      <w:r>
        <w:t>IT: TPF RR.2008.9 del 5 febbraio 2008</w:t>
      </w:r>
    </w:p>
    <w:p>
      <w:pPr>
        <w:pStyle w:val="Heading2"/>
      </w:pPr>
      <w:r>
        <w:t>Regeste</w:t>
      </w:r>
    </w:p>
    <w:p>
      <w:r>
        <w:t>Auslieferung an Deutschland Auslieferungshaftbefehl (Art. 48 Abs. 2 IRSG)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und 13. Februar 2006 um Verhaftung des deutschen Staatsangehörigen A. im Hinblick auf seine Auslieferung an Deutschland ersucht hat (act. 3.2);</w:t>
      </w:r>
    </w:p>
    <w:p>
      <w:r>
        <w:t>- A. am 27. Dezember 2007 in Zürich festgenommen und in provisorische Aus- lieferungshaft versetzt wurde (act. 3.4 und 3.5);</w:t>
      </w:r>
    </w:p>
    <w:p>
      <w:r>
        <w:t>- das Bundesamt für Justiz (nachfolgend “Bundesamt“), nachdem sich A. an- lässlich seiner Einvernahme durch die Kantonspolizei Zürich vom 28. Dezember 2007 mit einer vereinfachten Auslieferung an Deutschland nicht einverstanden erklärt hatte (act. 3.6), gleichentags einen Auslieferungs- haftbefehl gegen diesen erlassen hat (act. 3.10);</w:t>
      </w:r>
    </w:p>
    <w:p>
      <w:r>
        <w:t>- A. gegen den Auslieferungshaftbefehl vom 28. Dezember 2007 mit Be- schwerde vom 17. Januar 2008 an die II. Beschwerdekammer des Bundes- strafgerichts gelangt ist (act. 1);</w:t>
      </w:r>
    </w:p>
    <w:p>
      <w:r>
        <w:t>- das Bundesamt in der Beschwerdeantwort vom 23. Januar 2008 die kosten- fällige Abweisung der Beschwerde beantragt hat, soweit darauf einzutreten sei (act. 3);</w:t>
      </w:r>
    </w:p>
    <w:p>
      <w:r>
        <w:t>- A. mit Eingabe vom 28. Januar 2008 den Rückzug der Beschwerde bekannt gegeben hat;</w:t>
      </w:r>
    </w:p>
    <w:p>
      <w:r>
        <w:t>- das Beschwerdeverfahren daher zufolge Rückzugs der Beschwerde als erle- digt abzuschreiben ist;</w:t>
      </w:r>
    </w:p>
    <w:p>
      <w:r>
        <w:t>- der Beschwerdeführer bei diesem Ausgang des Verfahrens als unterliegende Partei zu gelten und die Verfahrenskosten zu tragen hat (Art. 63 Abs. 1 VwVG i.V.m. Art. 30 lit. b SGG; TPF RR.2007.70 vom 30. Mai 2007), wobei die Gerichtsgebühr auf Fr. 600.-- anzusetzen ist (Art. 3 des Reglements vom</w:t>
      </w:r>
    </w:p>
    <w:p>
      <w:r>
        <w:rPr>
          <w:b/>
        </w:rPr>
        <w:t>E. 11</w:t>
      </w:r>
    </w:p>
    <w:p>
      <w:r>
        <w:t>Februar 2004 über die Gerichtsgebühren vor dem Bundesstrafgericht, SR 173.711.32; TPF RR.2007.6 vom 22. Februar 2007 E. 5).</w:t>
      </w:r>
    </w:p>
    <w:p>
      <w:r>
        <w:t>- 3 -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