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RR.2008.87 vom 30. Juli 2008</w:t>
      </w:r>
    </w:p>
    <w:p>
      <w:r>
        <w:t>Bundesstrafgericht, 2008-07-30, DE</w:t>
      </w:r>
    </w:p>
    <w:p>
      <w:r>
        <w:rPr>
          <w:b/>
        </w:rPr>
        <w:t xml:space="preserve">Quelle: </w:t>
      </w:r>
      <w:r>
        <w:t>https://mcp.opencaselaw.ch/entscheid/bstger_RR.2008.87</w:t>
      </w:r>
    </w:p>
    <w:p>
      <w:r>
        <w:t>FR: TPF RR.2008.87 du 30 juillet 2008</w:t>
      </w:r>
    </w:p>
    <w:p>
      <w:r>
        <w:t>IT: TPF RR.2008.87 del 30 luglio 2008</w:t>
      </w:r>
    </w:p>
    <w:p>
      <w:pPr>
        <w:pStyle w:val="Heading2"/>
      </w:pPr>
      <w:r>
        <w:t>Regeste</w:t>
      </w:r>
    </w:p>
    <w:p>
      <w:r>
        <w:t>Internationale Rechtshilfe in Strafsachen an Bulgarien Herausgabe von Beweismitteln (Art. 74 Abs. 1 IRSG)</w:t>
      </w:r>
    </w:p>
    <w:p>
      <w:pPr>
        <w:pStyle w:val="Heading2"/>
      </w:pPr>
      <w:r>
        <w:t>Erwägungen</w:t>
      </w:r>
    </w:p>
    <w:p>
      <w:r>
        <w:rPr>
          <w:b/>
        </w:rPr>
        <w:t>E. 3</w:t>
      </w:r>
    </w:p>
    <w:p>
      <w:r>
        <w:t>Es seien keine Kosten zu erheben und es sei den Beschwerdeführern eine angemessene Parteientschädigung zuzusprechen.</w:t>
      </w:r>
    </w:p>
    <w:p>
      <w:r>
        <w:t>Sowohl das Bundesamt für Justiz wie auch die Bundesanwaltschaft bean- tragen in ihren Beschwerdeantworten vom 27. bzw. 30. Mai 2008 die kos- tenfällige Abweisung der Beschwerde soweit darauf eingetreten werden könne (act. 10 und 11). Der Vertreter der Beschwerdeführer wurde davon am 2. Juni 2008 in Kenntnis gesetzt (act. 12).</w:t>
      </w:r>
    </w:p>
    <w:p>
      <w:r>
        <w:t>D. Mit Eingabe vom 6. Juni 2008 beantragt der Verteidiger der Beschwerde- führer die Vereinigung des vorliegenden Verfahrens mit den Beschwerde- verfahren gegen die Schlussverfügungen i.S. K. SA vom 19. März 2007 [recte 2008], i.S. L. Corp. und D. vom 8. Mai 2008, i.S. M. Ltd. und C. vom</w:t>
      </w:r>
    </w:p>
    <w:p>
      <w:r>
        <w:rPr>
          <w:b/>
        </w:rPr>
        <w:t>E. 3.1</w:t>
      </w:r>
    </w:p>
    <w:p>
      <w:r>
        <w:t>Der Vertreter der Beschwerdeführerin beantragt in prozessualer Hinsicht, es sei die aufschiebende Wirkung zu bestätigen. Der Beschwerde kommt von Gesetzes wegen aufschiebende Wirkung zu (Art. 21 Abs. 4 lit. b und Art. 80l Abs. 1 IRSG). Entsprechend ist darüber nicht zu befinden.</w:t>
      </w:r>
    </w:p>
    <w:p>
      <w:r>
        <w:rPr>
          <w:b/>
        </w:rPr>
        <w:t>E. 3.2</w:t>
      </w:r>
    </w:p>
    <w:p>
      <w:r>
        <w:t>Weiter wird in prozessualer Hinsicht die Vereinigung des vorliegenden Ver- fahrens mit den Beschwerdeverfahren gegen die Schlussverfügungen i.S. K. SA, i.S. L. Corp. und D., i.S. M. Ltd. und C., i.S. D. und Herr C., i.S. B. und i.S. D. beantragt. Es wird geltend gemacht, eine Nichtvereinigung ver- stiesse gegen den Grundsatz des fairen Verfahrens sowie das Willkürver- bot und sei rechtsungleich (act. 13).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Zur Zeit sind bei der II. Beschwerdekammer des Bundes- strafgerichts im gleichen Gesamtkomplex nebst dem vorliegenden folgende weitere Beschwerdeverfahren hängig: K. SA, B., C., D. und E. [RR.2008. 79-83]; L. Corp. und D. [RR.2008.131-132]; D. [RR.2008.134]; B. [RR.2008.135]; M. Ltd. und C. [RR.2008.137-138]; D. und C. [RR.2008.139-140] sowie N. Limited [RR.2008.148]. Ein offenkundiger Vor-</w:t>
      </w:r>
    </w:p>
    <w:p>
      <w:r>
        <w:t>- 6 -</w:t>
      </w:r>
    </w:p>
    <w:p>
      <w:r>
        <w:t>teil im Sinne einer Verfahrensvereinfachung oder gar Beschleunigung bei Zusammenlegen all dieser Verfahren besteht nicht. Die einzelnen Be- schwerden richten sich gegen unterschiedliche Schlussverfügungen mit teilweise unterschiedlichem Erlassdatum. Die Legitimation der einzelnen Beschwerdeführer, aber auch die Berechtigung zu bestimmten Rügen kann sich je nach individueller Konstellation unterschiedlich präsentieren und kann damit zu unterschiedlichen Entscheiden bzw. Begründungen führen. Eine Zusammenlegung stellt deshalb auch keine Vereinfachung dar. Zu- dem sind die einzelnen Beschwerden nicht im gleichen Verfahrensstadium. Die getrennte Abwicklung, entsprechend der einzelnen Beschwerdeschrift erlaubt eine beförderlichere Erledigung im Sinne von Art. 17a IRSG der da- von betroffenen einzelnen Rechtshilfehandlungen. Die beiden zur Zeit spruchreifen Beschwerdeverfahren (A. Ltd. und K. SA) können entschieden werden und entsprechend können die einzelnen verfügten Rechtshilfen bei Rechtskraft der Beschwerdeentscheide dann auch umgehend ausgeführt werden. Soweit Gleichartigkeit in der Begründung der Entscheide vorliegt, wird dem reduzierten Aufwand mit entsprechend reduzierten Gebühren Rechnung getragen. Der Entscheid, die Verfahren nicht zu vereinigen, ver- letzt daher weder den Grundsatz des fairen Verfahrens, noch ist er willkür- lich. Inwiefern durch die Nichtvereinigung der Verfahren das Rechtsgleich- heitsgebot verletzt sein sollte, ist im Übrigen unerfindlich..</w:t>
      </w:r>
    </w:p>
    <w:p>
      <w:r>
        <w:t>Der Antrag auf Verfahrensvereinigung ist demnach abzuweisen.</w:t>
      </w:r>
    </w:p>
    <w:p>
      <w:r>
        <w:t>4.</w:t>
      </w:r>
    </w:p>
    <w:p>
      <w:r>
        <w:t>4.1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entsprechende Anforderungen an das Rechtshilfeersuchen. Diese Angaben müssen der ersuchten Behörde aller- dings nur die Prüfung erlauben, ob die doppelte Strafbarkeit gegeben ist (vgl. Art. 5 Ziff. 1 lit. a EUeR; infra Ziff. 5), ob die Handlungen wegen denen um Rechtshilfe ersucht wird, nicht politische oder fiskalische Delikte dar- stellen (Art. 2 lit. a EUeR) und ob der Grundsatz der Verhältnismässigkeit gewahrt wird (BGE 129 II 97 E. 3.1 S. 98 m.w.H.). 4.2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w:t>
      </w:r>
    </w:p>
    <w:p>
      <w:r>
        <w:t>- 7 -</w:t>
      </w:r>
    </w:p>
    <w:p>
      <w:r>
        <w:t>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4.3 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Sofia C. sein. Gemäss Angabe der bulgarischen Behörden seien die Drogen oftmals auf Booten nach Spanien respektive Europa transportiert worden. So habe die spanische Polizei beispielsweise im Mai 2005 an Bord der „O.“ 3500 Kilo Kokain gefunden. Mehrere dieser Organisation angehörenden Personen, welche per Schiff Drogen transpor- tiert hätten, seien festgenommen worden. Laut Rechtshilfeersuchen sei das aus dem Drogenhandel erzielte Geld durch Banküberweisungen oder ver- steckt in Fahrzeugen nach Bulgarien transportiert worden. Den Beschuldigten wird in diesem Zusammenhang vorgeworfen, sie hätten mehrere Gesellschaften gegründet, über welche Boote und Wohnungen etc. gekauft worden seien. So hätten sie in Sofia beispielsweise die Gesell- schaft mit beschränkten Haftung P. gegründet. Gesellschafter seien unter anderem E. (Bruder von C.) und I. Im September 2003 sodann sei die P. in eine Aktiengesellschaft umgewandelt worden und das Aktienkapital durch ausländische Überweisungen von Leva 50'000 auf Leva 2,5 Mio. erhöht worden. Laut Angaben im Rechtshilfegesuch gehören die Aktien der P. zu 100% der Q. SA. Mitglieder von deren Direktion seien F. (Vater von I.) und E. Später seien unter anderem B. dazugekommen (Frau von F. und Schwester von D., der Ex- Frau von C.). Laut einer Zeugenaussage sei die P. lediglich zwecks Geldwäscherei der aus dem Drogenhandel erzielten</w:t>
      </w:r>
    </w:p>
    <w:p>
      <w:r>
        <w:t>- 8 -</w:t>
      </w:r>
    </w:p>
    <w:p>
      <w:r>
        <w:t>Gewinnen errichtet worden. Kurz nach seiner Aussage sei der betreffende Zeuge ermordet aufgefunden worden. Anscheinend sei sodann im April 2003 zwischen der P. und der R. Ltd. ein Kreditvertrag über 2 Mio. Euro geschlossen worden, wobei der Kredit spä- ter auf 3 Mio. Euro angestiegen sei. Direktorin der R. Ltd. sei D. (Ex-Frau von C. und Schwester von B.). In mehreren Tranchen sei das Geld auf das Konto der P. bei der Bank H., in Y., überwiesen worden. Mit dem Geld sei- en Immobilien und Fahrzeuge gekauft worden, wobei ein Teil auch zur Kreditdeckung verwendet worden sei. Dieses gesamte Vorgehen habe bei der bulgarischen Nationalbank den Verdacht der Geldwäscherei erweckt, was eine Inspektion und anschliessende Eröffnung eines Strafverfahrens nach sich gezogen habe. Durch die Untersuchung habe sich unter ande- rem ergeben, dass F. seinem Sohn von mehreren Gesellschaften Geld ü- berwiesen habe um diesem bei seinen Geschäften zu helfen. Über ein Konto der Gesellschaft J. bei der Bank G. seien auch 2 Mio. Euro zu C. ge- flossen (unter Angabe des swift codes für eine der Zahlungen). 4.4 Diese im Rechtshilfeersuchen bzw. den Ergänzungen erfolgte detaillierte Darstellung des Sachverhaltes genügt den gesetzlichen Anforderungen von Art. 14 Ziff. 2 EUeR. Der Vertreter der Beschwerdeführerin bestreitet in der Beschwerde zwar den von den bulgarischen Behörden dargelegten Sach- verhalt vollumfänglich. Es wird dabei allerdings lediglich vorgebracht, die Vorwürfe seien aus der Luft gegriffen und die Zusammenhänge zwischen den verschieden Personen und Gesellschaften seien schleierhaft (act. 1 Ziff. 3, 4, 6). Mit der Beschwerde wird daher eine eigentliche Beweiswürdi- gung geltend gemacht. Eine solche erfolgt jedoch im Rechtshilfeverfahren – wie ausgeführt (E. 4.2) – grundsätzlich gerade nicht. Nicht dargelegt wird demgegenüber in der Beschwerde, inwiefern die Sachdarstellung im Rechtshilfeersuchen offensichtlich unrichtig, lückenhaft oder widersprüch- lich sein soll. Für die Beurteilung der vorliegenden Beschwerde ist daher von der Sachdarstellung im Rechtshilfeersuchen auszugehen. 5.</w:t>
      </w:r>
    </w:p>
    <w:p>
      <w:r>
        <w:t>5.1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w:t>
      </w:r>
    </w:p>
    <w:p>
      <w:r>
        <w:t>- 9 -</w:t>
      </w:r>
    </w:p>
    <w:p>
      <w:r>
        <w:t>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t>5.2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w:t>
      </w:r>
    </w:p>
    <w:p>
      <w:r>
        <w:t>5.3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w:t>
      </w:r>
    </w:p>
    <w:p>
      <w:r>
        <w:t>- 10 -</w:t>
      </w:r>
    </w:p>
    <w:p>
      <w:r>
        <w:t>sich zur fortgesetzten Ausübung der Geldwäscherei zusammengefunden hat. Nach Art. 305bis Ziff. 2 lit. c StGB liegt ein schwerer Fall ferner vor, wenn der Täter durch gewerbsmässige Geldwäscherei einen grossen Um- satz oder einen erheblichen Gewinn erzielt. 5.4 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(FORSTER, a.a.O., S. 282 m.w.H.) oder das Still- schweigen des Beschuldigten über die Herkunft eines hohen Geldbetrages (Urteil des Bundesgerichts 1A.141/2004 vom 1. Oktober 2004, E. 2.2) kön- nen in diesem Zusammenhang verdächtig erscheinen. Falls im Ersuchen keine näheren Angaben zur Vortat gemacht werden, müssen jedoch erheb- liche Indizien dafür bestehen, dass es sich dabei um ein Verbrechen han- delt. Es ist auch der Dimension der fraglichen Finanztransaktionen Rech- nung zu tragen (Urteil des Bundesgerichts 1A.188/2005 vom 24. Oktober 2005, E. 2.4).</w:t>
      </w:r>
    </w:p>
    <w:p>
      <w:r>
        <w:t>5.5 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FORSTER, a.a.O., S. 282 ff.) würden schon die folgenden erheblichen Indizien dafür sprechen, dass der obenerwähnte, von der ersuchenden Behörde detailliert geschilderte Sachverhalt (vgl. Ziff. 4.3) als geldwäschereitypisch zu erachten ist: Die hohen Geldbeträge mit unklarem Ursprung bzw. Bestimmung; das diffuse Konstrukt von Transakti- onen über Konten mehrerer über die ganze Welt verstreuter Gesellschaf- ten; die gegenseitige Verknüpfung der an den Geldgeschäften beteiligten Gesellschaften; die verwandtschaftlichen Verbindungen den diese Gesell- schaften kontrollierenden natürlichen Personen (act. 10.2); die Tatsache, dass beispielsweise die beteiligte juristische Person R. Ltd. keine eigentli- che Geschäftstätigkeit ausübt (act. 10.3). Alle diese im Rechtshilfeersuchen konkret und meist präzis dargestellten Verdachtsmomente genügen insge-</w:t>
      </w:r>
    </w:p>
    <w:p>
      <w:r>
        <w:t>- 11 -</w:t>
      </w:r>
    </w:p>
    <w:p>
      <w:r>
        <w:t>samt ohne weiteres, um die beidseitige Strafbarkeit zu bejahen. Die Frage muss überdies deshalb nicht weiter vertieft werden, als im Rechtshilfege- such und den zugehörigen Ergänzungsersuchen auch konkrete Vorwürfe des Drogenhandels enthalten sind (vgl. nachfolgend Ziff. 5.6).</w:t>
      </w:r>
    </w:p>
    <w:p>
      <w:r>
        <w:t>5.6 Nach schweizerischem Recht erfüllt den Tatbestand gemäss Art. 19 Ziff. 1 des Betäubungsmittelgesetzes, wer Betäubungsmittel unbefugt lagert, ver- sendet, befördert, einführt, ausführt oder durchführt. Ein schwerer Fall nach Ziffer 2 litera b dieser Bestimmung liegt vor, wenn der Täter als Mitglied ei- ner Bande handelt, die sich zur Ausübung des unerlaubten Betäubungsmit- telverkehrs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C.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 5.7 Die bulgarische Staatsanwaltschaft hat mithin auch den Verdacht der verbrecherischen Vortat der Geldwäscherei in genügender Weise darge- legt. Die Voraussetzung der beidseitigen Strafbarkeit ist daher zu bejahen. Da bei der „kleinen“ Rechtshilfe wie bereits erwähnt (vgl. Ziff. 5.2) nur ge- prüft werden muss, ob der im Rechtshilfeersuchen geschilderte Sachver- halt von einem Straftatbestand des schweizerischen Rechts erfasst wird (Urteil des Bundesgerichts 1C_138/2007 vom 17. Juli 2007, E. 2.3.2 m.w.H., publiziert in SJ 2007 S. 576 ff.), kann das Erfordernis der beidseiti- gen Strafbarkeit ohne weiteres als erfüllt betrachtet werden.</w:t>
      </w:r>
    </w:p>
    <w:p>
      <w:r>
        <w:t>Die Rüge, es liege weder eine Vortat noch Geldwäscherei vor und zudem sei der Tatbestand des Verbrechens gegen das Finanzsystem dem schweizerischen Recht unbekannt, was die diesbezügliche Aktenüberwei- sung rechtswidrig mache (act. 1 Ziff. 5, 6, 7), ist nach dem Gesagten als unbegründet abzuweisen.</w:t>
      </w:r>
    </w:p>
    <w:p>
      <w:r>
        <w:t>- 12 -</w:t>
      </w:r>
    </w:p>
    <w:p>
      <w:r>
        <w:t>6.</w:t>
      </w:r>
    </w:p>
    <w:p>
      <w:r>
        <w:t>6.1 Der Vertreter der Beschwerdeführerin macht geltend, es sei schleierhaft, was die P. mit diesen angeblichen Drogengeschäften in Spanien zu tun habe und weswegen die R. Ltd. in Konnex zu irgendwelcher krimineller Machenschaft stehe. Auch liege nicht ein einzelner Anhaltspunkt vor, wo- nach eine Verbindung zum angeblichen Kokainhandel in Spanien zur A. Ltd. bestehe (act. 1 Ziff. 4, 6). 6.2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6.3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w:t>
      </w:r>
    </w:p>
    <w:p>
      <w:r>
        <w:t>- 13 -</w:t>
      </w:r>
    </w:p>
    <w:p>
      <w:r>
        <w:t>(bzw.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6.4 Soweit geltend gemacht wird, zwischen der P., R. Ltd. und A. Ltd. einer- seits und den angeblichen Drogengeschäften andererseits bestehe kein Zusammenhang, so erweist sich die Rüge als offensichtlich unbegründet. Gemäss Rechtshilfegesuch und Ergänzungen sind die des Drogenhandels Beschuldigten zugleich Gesellschafter sowohl der P. wie der R. Ltd. Die P. soll laut einer Zeugenaussage lediglich zwecks Geldwäscherei der aus dem Drogenhandel erzielten Gewinnen errichtet worden sein (act. 10.2). Über Konten der Bank G. soll Geld von Gesellschaften der Beschuldigten geflossen sein (unter Angabe des swift codes für eine der Zahlungen). Die Beschuldigte B. ist an der A. Ltd. wirtschaftlich berechtigt und zeichnungs- berechtigt. Über das auf die A. Ltd. lautende Konto 1 bei der Bank G. er- folgten Tranksaktionen im Millionenumfang, u.a. stellte die Rechtshilfebe- hörde eine Transaktion über 1 Mio. € an eine C. wirtschaftlich zuzurech- nende Gesellschaft fest. Ein Sachzusammenhang zwischen der A. Ltd. bzw. deren Konto 1 bei der Bank G. und vorgeworfenen Drogengeschäften bzw. der Geldwäscherei ist damit ausreichend dargetan. Der Herausgabe der in der angefochtenen Schlussverfügung genannten Dokumenten steht nichts entgegen. Auch wurde durch die Beschwerdeführerin keine sachgerechte Ausscheidung beschlagnahmter Dokumente unter dem Titel offenkundig fehlender Rele- vanz geltend gemacht. 7. Schliesslich wird durch den Vertreter der Beschwerdeführerin eine Justiz- krise in Bulgarien geltend gemacht. Es gehe im vorliegenden Fall um einen Konkurrenzkampf im Bauwesen, wobei der Immobilienfirma der Ange- schuldigten geschadet werden soll. Es gehe dabei darum, Informationsbe- schaffung über Konten der betroffenen Personen einzuholen und mit Un- terstützung korrupter Beamten die Firma zu liquidieren (act. 1 Ziff. 9). Für diese Behauptung werden allerdings keine konkreten Anhaltspunkte ge- nannt. Die Beschwerdeführerin belässt es im Grunde dabei, die (unbe- streitbare; vgl. z.B. Amnesty International, Jahresbericht 2007, Frankfurt am Main, S. 109) Korruption in Bulgariens Justizbereich in allgemeiner</w:t>
      </w:r>
    </w:p>
    <w:p>
      <w:r>
        <w:t>- 14 -</w:t>
      </w:r>
    </w:p>
    <w:p>
      <w:r>
        <w:t>Weise zu rügen. Eine derart wenig auf das konkrete Verfahren ausgerichte- te Rüge kann an sich der Ausführung der Rechtshilfe nicht entgegenste- hen. Soweit die Beschwerdeführerin damit implizit zu rügen beabsichtigt, im Strafverfahren in Bulgarien sei kein EMKR konformes faires Verfahren ge- währleistet, mithin sei die Rechtshilfe gestützt auf Art. 2 lit. a IRSG nicht zu- lässig, ist sie als juristische Person nicht legitimiert, diese Rüge zu erheben (BGE 130 II 217 E. 8.2 S. 228). Art. 2 IRSG soll verhindern, dass die Schweiz die Durchführung von Strafverfahren oder den Vollzug von Strafen unterstützt, in welchen den verfolgten Personen die ihnen in einem Rechts- staat zustehenden und insbesondere durch die EMRK und den UNO-Pakt II umschriebenen Minimalgarantien nicht gewährt werden oder welche den internationalen Ordre public verletzen (BGE 130 II 217 E. 8.1 S. 227; 129 II 268 E. 6.1 S. 271, je m.w.H.). Gemäss ständiger Rechtsprechung können sich grundsätzlich nur Personen auf Art. 2 IRSG berufen, deren Ausliefe- rung an einen anderen Staat oder deren Überweisung an einen internatio- nalen Gerichtshof beantragt wurde. Geht es wie vorliegend um die Heraus- gabe von Beweismitteln, kann sich nur der Beschuldigte auf Art. 2 IRSG berufen, der sich auf dem Gebiet des ersuchenden Staates aufhält, sofern er geltend machen kann, konkret der Gefahr einer Verletzung seiner Ver- fahrensrechte ausgesetzt zu sein. Dagegen können sich juristische Perso- nen im allgemeinen bzw. natürliche Personen, welche sich im Ausland auf- halten oder sich auf dem Gebiet des ersuchenden Staates befinden, ohne dort einer Gefahr ausgesetzt zu sein, grundsätzlich nicht auf Art. 2 IRSG berufen (BGE 130 II 217 E. 8.2 S. 227 f. m.w.H.; Urteile des Bundesge- richts 1A.43/2007 vom 24. Juli 2007, E. 3.2; 1A.212/2000 vom 19. Septem- ber 2000, E. 3a/cc). Auf diese Rüge ist daher nicht einzutreten.</w:t>
      </w:r>
    </w:p>
    <w:p>
      <w:r>
        <w:rPr>
          <w:b/>
        </w:rPr>
        <w:t>E. 8</w:t>
      </w:r>
    </w:p>
    <w:p>
      <w:r>
        <w:t>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(TPF RR.2007.6 vom 22. Februar 2007 E. 5). Die Gerichtsgebühren sind auf Fr. 2'000.00 für die A. Ltd. festzusetzen (Art. 3 des Reglements), unter Anrechnung des geleisteten Kostenvor- schusses von Fr. 5'000.00. Die Bundesstrafgerichtskasse ist anzuweisen, der Beschwerdeführerin den Restbetrag von Fr. 3'000.00 zurückzuerstat- ten. Die Gerichtsgebühren für die übrigen Beschwerdeführer sind auf je Fr. 100.00 festzusetzen.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