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RR.2008.63 vom 5. Mai 2008</w:t>
      </w:r>
    </w:p>
    <w:p>
      <w:r>
        <w:t>Bundesstrafgericht, 2008-05-05, DE</w:t>
      </w:r>
    </w:p>
    <w:p>
      <w:r>
        <w:rPr>
          <w:b/>
        </w:rPr>
        <w:t xml:space="preserve">Quelle: </w:t>
      </w:r>
      <w:r>
        <w:t>https://mcp.opencaselaw.ch/entscheid/bstger_RR.2008.63</w:t>
      </w:r>
    </w:p>
    <w:p>
      <w:r>
        <w:t>FR: TPF RR.2008.63 du 5 mai 2008</w:t>
      </w:r>
    </w:p>
    <w:p>
      <w:r>
        <w:t>IT: TPF RR.2008.63 del 5 maggio 2008</w:t>
      </w:r>
    </w:p>
    <w:p>
      <w:pPr>
        <w:pStyle w:val="Heading2"/>
      </w:pPr>
      <w:r>
        <w:t>Regeste</w:t>
      </w:r>
    </w:p>
    <w:p>
      <w:r>
        <w:t>Auslieferung an Deutschland Beschwerde gegen Auslieferungshaftbefehl (Art. 48 Abs. 2 IRSG)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Bei diesem Ausgang des Verfahrens wird der Beschwerdeführer kosten- pflichtig (Art. 30 lit. b SGG i.V.m. Art. 63 Abs. 1 VwVG). Die Zuständigkeit des Bundesstrafgerichts zur Regelung der Gerichtsgebühren wurde in Art. 63 Abs. 5 VwVG nicht ausdrücklich vorbehalten. Der Vorbehalt von Art. 63 Abs. 5 VwVG muss jedoch in analoger Anwendung auch zugunsten von Art. 15 Abs. 1 lit. a SGG gelten, weshalb vorliegend für die Berechnung der Gerichtsgebühr das Reglement vom 11. Februar 2004 über die Gerichts- gebühren vor dem Bundesstrafgericht (SR 173.711.32) zur Anwendung ge- langt (TPF RR.2007.6 vom 22. Februar 2007, E. 5). Die Gerichtsgebühr ist</w:t>
      </w:r>
    </w:p>
    <w:p>
      <w:r>
        <w:t>- 7 -</w:t>
      </w:r>
    </w:p>
    <w:p>
      <w:r>
        <w:t>auf CHF 1'500.-- festzusetzen (Art. 3 des Reglements über die Gerichtsge- bühren vor dem Bundesstrafgericht) und dem Beschwerdeführer aufzuerle- gen.</w:t>
      </w:r>
    </w:p>
    <w:p>
      <w:r>
        <w:t>- 8 -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