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RR.2008.60 vom 14. April 2008</w:t>
      </w:r>
    </w:p>
    <w:p>
      <w:r>
        <w:t>Bundesstrafgericht, 2008-04-14, FR</w:t>
      </w:r>
    </w:p>
    <w:p>
      <w:r>
        <w:rPr>
          <w:b/>
        </w:rPr>
        <w:t xml:space="preserve">Quelle: </w:t>
      </w:r>
      <w:r>
        <w:t>https://mcp.opencaselaw.ch/entscheid/bstger_RR.2008.60</w:t>
      </w:r>
    </w:p>
    <w:p>
      <w:r>
        <w:t>FR: TPF RR.2008.60 du 14 avril 2008</w:t>
      </w:r>
    </w:p>
    <w:p>
      <w:r>
        <w:t>IT: TPF RR.2008.60 del 14 aprile 2008</w:t>
      </w:r>
    </w:p>
    <w:p>
      <w:pPr>
        <w:pStyle w:val="Heading2"/>
      </w:pPr>
      <w:r>
        <w:t>Regeste</w:t>
      </w:r>
    </w:p>
    <w:p>
      <w:r>
        <w:t>Extradition à l'Ukraine Mandat d'arrêt en vue d'extradition (art. 47 ss EIMP)</w:t>
      </w:r>
    </w:p>
    <w:p>
      <w:pPr>
        <w:pStyle w:val="Heading2"/>
      </w:pPr>
      <w:r>
        <w:t>Erwägungen</w:t>
      </w:r>
    </w:p>
    <w:p>
      <w:r>
        <w:rPr>
          <w:b/>
        </w:rPr>
        <w:t>E. 1</w:t>
      </w:r>
    </w:p>
    <w:p>
      <w:r>
        <w:t>En vertu de l’art. 28 al. 1 let. e ch. 1 LTPF, mis en relation avec l’art. 48 al. 2 de la loi fédérale du 20 mars 1981 sur l’entraide internationale en ma- tière pénale (loi sur l’entraide pénale internationale [EIMP]; RS 351.1), la Cour des plaintes du Tribunal pénal fédéral est compétente pour connaître des recours dirigés contre le mandat d’arrêt à titre extraditionnel. Selon l’art. 48 al. 2 EIMP, le recours doit être déposé dans les 10 jours qui suivent la notification écrite du mandat d’arrêt. En l’espèce, le recours a été déposé dans les délais. Le recourant a qualité pour agir. Le recours est recevable en la forme.</w:t>
      </w:r>
    </w:p>
    <w:p>
      <w:r>
        <w:rPr>
          <w:b/>
        </w:rPr>
        <w:t>E. 2</w:t>
      </w:r>
    </w:p>
    <w:p>
      <w:r>
        <w:t>L’extradition entre la Suisse et l’Ukraine est régie par la Convention euro- péenne d’extradition (CEExtr.; RS 0.353.1), entrée en vigueur le 20 mars 1967 pour la Suisse et le 9 juin 1998 pour l’Ukraine, par le Protocole addi- tionnel à la CEExtr. (RS 0.353.11) conclu le 15 octobre 1975, entré en vi- gueur le 9 juin 1985 pour la Suisse et le 9 juin 1998 pour l’Ukraine, ainsi que par le deuxième Protocole additionnel à la CEExtr. (RS 0.353.12) conclu le 17 mars 1978, entré en vigueur le 9 juin 1985 pour la Suisse et le 9 juin 1998 pour l’Ukraine. Pour le surplus, l’EIMP et son ordonnance d’exécution (OEIMP; RS 351.11) règlent les questions qui ne sont pas ré- gies, explicitement ou implicitement, par la CEExtr. (ATF 130 II 337 consid. 1 p. 339; 128 II 355 consid. 1 p. 357 et la jurisprudence citée). Le droit interne s’applique en outre lorsqu’il est plus favorable à l’octroi de l’extradition que le droit international (ATF 122 II 140 consid. 2 et les arrêts cités). Le respect des droits fondamentaux est réservé (ATF 123 II 595 consid. 7c p. 617).</w:t>
      </w:r>
    </w:p>
    <w:p>
      <w:r>
        <w:rPr>
          <w:b/>
        </w:rPr>
        <w:t>E. 3.1</w:t>
      </w:r>
    </w:p>
    <w:p>
      <w:r>
        <w:t>Selon l’art. 16 ch. 1 CEExtr., disposition qui régit l’arrestation provisoire aux fins d’extradition, les autorités compétentes de l’Etat requérant peuvent, en cas d’urgence, demander l’arrestation provisoire de l’individu recherché; les autorités compétentes de l’Etat requis statuent sur cette demande confor- mément à la loi de l’Etat requis. Saisie d’un recours fondé sur l’art. 48 al. 2 EIMP, la Cour des plaintes n’a pas, à ce stade de la procédure, à se pro- noncer sur le bien-fondé de la demande d’extradition (ATF 130 II 306 con- sid. 2.3 p. 310). Elle se borne à examiner la légalité de l’arrestation et si la détention aux fins d’extradition se justifie (ATF 111 IV 108 consid. 3; LAU- RENT MOREILLON, Entraide internationale en matière pénale, Bâle/Genève/Munich 2004, n° 19 ad art. 47 EIMP). Les griefs relatifs au</w:t>
      </w:r>
    </w:p>
    <w:p>
      <w:r>
        <w:t>- 4 -</w:t>
      </w:r>
    </w:p>
    <w:p>
      <w:r>
        <w:t>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aux conditions po- sées à l’art. 84 LTF (ATF 133 IV 125, 131, 132). Selon une jurisprudence constante, la détention est la règle, tandis que la mise en liberté demeure l’exception (ATF 130 II 306 consid. 2.2 p. 309), la mise en liberté provisoire étant au demeurant soumise à des exigences plus strictes en matière de détention extraditionnelle que de détention préventive (ATF 130 II 306 consid. 2.2 p. 310; 111 IV 108 consid. 2; 109 Ib 223 consid. 2c p. 228; arrêt du Tribunal fédéral 1A.148/2004 du 21 juin 2004, consid. 2.2). Aux termes des art. 47 ss EIMP, il peut notamment être renoncé à la détention s’il ap- 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remplies dans le cas concret doit être examinée selon des critères rigoureux, de manière à ne pas rendre il- lusoire l’engagement pris par la Suisse de remettre la personne poursuivie, en cas d’admission de la demande d’extradition, à l’Etat requérant (ATF 111 IV 108 consid. 2; arrêt du Tribunal fédéral G.31/1995 du 21 juin 1995, consid. 1).</w:t>
      </w:r>
    </w:p>
    <w:p>
      <w:r>
        <w:rPr>
          <w:b/>
        </w:rPr>
        <w:t>E. 3.2</w:t>
      </w:r>
    </w:p>
    <w:p>
      <w:r>
        <w:t>Dans un premier grief, le recourant, pour s’opposer à son extradition, invo- que un alibi (art. 47 al. 1 let. b EIMP). Il se prévaut de plusieurs pièces (act. 1.4 à 1.7) libellées en cyrillique aptes à démontrer, selon lui, qu’il était détenu à la prison de Z. en Ukraine à l’époque de la commission des faits qui lui sont reprochés, à savoir le 17 août 2002, ainsi que mentionné dans la demande d’arrestation diffusée par Interpol Kiev. De la sorte, il ne pou- vait se trouver sur les lieux du crime au moment de sa commission.</w:t>
      </w:r>
    </w:p>
    <w:p>
      <w:r>
        <w:t>Dans l’avis de recherche d’Interpol Kiev du 31 mai 2007, il est effective- ment exposé que les agissements poursuivis ont été commis le 17 août 2002 (act. 3.2). La demande d’extradition mentionne quant à elle la date du 17 août 2005 (act. 3.5). Après interpellation de l’autorité requérante par l’OFJ (act. 3.9), il s’avère que la date exacte est celle du 17 août 2005 (act. 3.10). Or, pour cette date, le recourant n’est manifestement pas en mesure de fournir un quelconque alibi.</w:t>
      </w:r>
    </w:p>
    <w:p>
      <w:r>
        <w:t>- 5 -</w:t>
      </w:r>
    </w:p>
    <w:p>
      <w:r>
        <w:rPr>
          <w:b/>
        </w:rPr>
        <w:t>E. 3.3</w:t>
      </w:r>
    </w:p>
    <w:p>
      <w:r>
        <w:t>Le recourant conteste par ailleurs l’existence d’un risque de fuite. Il expose demeurer à Y. avec sa famille. De son point de vue, le fait qu’il n’ait pas de famille hors de Suisse et d’Ukraine suffit à exclure tout risque de fuite. En- fin, il ajoute que lorsqu’il a su qu’il était recherché, il s’est immédiatement mis à la disposition des autorités.</w:t>
      </w:r>
    </w:p>
    <w:p>
      <w:r>
        <w:t>D’avis contraire, l’OFJ relève que la perspective d’une peine de longue du- rée pourrait encourager le recourant à prendre la fuite. Concernant sa si- tuation familiale, l’OFJ rappelle qu’il ne réside en Suisse que depuis 2003. Le recourant n’a par ailleurs fait aucune proposition qui permettrait de ga- rantir sa présence en Suisse dans le cadre de la procédure d’extradition (p.ex. dépôt d’une caution).</w:t>
      </w:r>
    </w:p>
    <w:p>
      <w:r>
        <w:t>En l’espèce, on ne voit pas de raisons de s’écarter de la jurisprudence res- trictive du Tribunal fédéral quant au risque de fuite (ATF 130 II 306 consid. 2) et d’annuler le mandat d’arrêt en vue d’extradition. Dans les ra- res cas où un élargissement a été admis par le Tribunal fédéral (cf. la ca- suistique présentée dans l’ATF 130 II 306 consid. 2.4), il s’agissait de déte- nus qui avaient développé des attaches familiales et professionnelles étroi- tes et de longue durée avec la Suisse, ce qui n’est pas le cas dans la situa- tion du recourant. En effet, ce dernier résidant en Suisse seulement depuis 2003 (cf. act. 1), on peut difficilement croire qu’il ait des liens personnels étroits avec ce pays – le recourant n’invoque du reste pas de tels liens. En ce qui concerne ses attaches familiales, le recourant affirme vivre avec ses parents en Suisse, sans être très explicite à ce sujet. A la lecture des piè- ces produites à l’appui de la demande d’assistance judiciaire, on comprend qu’il loge chez son beau-père à Y. (cf. RP.2008.14, act. 3) et que son épouse et son fils demeurent quant à eux à Z. en Ukraine (cf. RP.2008.14, act. 3.1). Sur le plan de sa situation professionnelle, les liens ne semblent pas non plus être très solides, d’autant que le recourant semble travailler à la saison (cf. RP.2008.14, act. 3).</w:t>
      </w:r>
    </w:p>
    <w:p>
      <w:r>
        <w:t>Au vu de la jurisprudence restrictive du Tribunal fédéral, ces liens avec la Suisse ne suffisent pas pour prévenir le risque que le recourant choisisse la fuite en cas de libération, risque qui est encore accentué par le fait qu’il est à peine âgé de 26 ans. S’il devait être jugé et reconnu coupable des faits retenus contre lui, il s’exposerait à une peine privative de liberté pour une durée qui pourrait s’élever à sept ans (act. 3.2). Cette perspective est de- venue plus nette avec la demande d’extradition du 29 octobre 2007 formu- lée par l’Ukraine. Il est peu probable que la présence en Suisse de son beau-père puisse dissuader le recourant de s’enfuir, et cela d’autant moins s’il redoute d’être exposé en Ukraine à des conditions sévères de déten-</w:t>
      </w:r>
    </w:p>
    <w:p>
      <w:r>
        <w:t>- 6 -</w:t>
      </w:r>
    </w:p>
    <w:p>
      <w:r>
        <w:t>tion, comme il l’expose à l’appui de son recours. La détention doit donc être maintenue.</w:t>
      </w:r>
    </w:p>
    <w:p>
      <w:r>
        <w:rPr>
          <w:b/>
        </w:rPr>
        <w:t>E. 4</w:t>
      </w:r>
    </w:p>
    <w:p>
      <w:r>
        <w:t>Il résulte de ce qui précède que le recours doit être rejeté. Le recourant demande l’assistance judiciaire. Selon l’art. 65 al. 1 PA (applicable par ren- voi de l’art. 30 let. b LTPF), celle-ci est accordée à la partie indigente dont les conclusions ne paraissent pas vouées à l’échec. Tel n’est pas le cas en l’espèce. Des conclusions doivent en effet être considérées comme vouées à l’échec lorsque les risques de perdre l’emportent nettement sur les chan- ces de gagner, alors même qu’elles ne seraient pas manifestement mal fondées ou abusives (TPF RR.2007.28 du 21 mars 2007, consid. 3). Or, dans le cas présent, même sur la base du dossier tel qu’il se présentait au moment du recours, le recourant n’était pas en mesure de présenter un ali- bi satisfaisant aux exigences d’immédiateté de l’art. 47 al. 1 let. b EIMP (cf. ATF 112 Ib 347 consid. 3). En effet, rédigés en cyrillique, les docu- ments produits à l’appui du recours ne sont pas des preuves "liquides" permettant la vérification immédiate de l’alibi. A supposer que les docu- ments aient été munis de traduction, ils l’auraient été moins afin de présen- ter un alibi valable que pour exploiter l’erreur de l’Etat requérant dans l’indication de la date des faits reprochés au recourant. Pour le surplus, il était patent que les exigences strictes de la jurisprudence fédérale relatives à la mise en liberté provisoire pour cause d’absence de risque de fuite n’étaient pas remplies. L’assistance judiciaire doit donc être refusée. Un émolument réduit est toutefois arrêté pour tenir compte de la situation fi- nancière du recourant (art. 63 al. 4bis PA).</w:t>
      </w:r>
    </w:p>
    <w:p>
      <w:r>
        <w:t>- 7 -</w:t>
      </w:r>
    </w:p>
    <w:p>
      <w:r>
        <w:t>Par ces motifs, la IIe Cour des plaintes prononce:</w:t>
      </w:r>
    </w:p>
    <w:p>
      <w:r>
        <w:t>1. Le recours est rejeté.</w:t>
      </w:r>
    </w:p>
    <w:p>
      <w:r>
        <w:t>2. La demande d’assistance judiciaire est rejetée.</w:t>
      </w:r>
    </w:p>
    <w:p>
      <w:r>
        <w:t>3. Un émolument de Fr. 500.-- est mis à la charge du recourant.</w:t>
      </w:r>
    </w:p>
    <w:p>
      <w:r>
        <w:t>Bellinzone, le 14 avril 2008</w:t>
      </w:r>
    </w:p>
    <w:p>
      <w:r>
        <w:t>Au nom de la IIe Cour des plaintes du Tribunal pénal fédéral</w:t>
      </w:r>
    </w:p>
    <w:p>
      <w:r>
        <w:t>La présidente: la greffière:</w:t>
      </w:r>
    </w:p>
    <w:p>
      <w:r>
        <w:t>Distribution</w:t>
      </w:r>
    </w:p>
    <w:p>
      <w:r>
        <w:t>- Me Hildebrand de Riedmatten, avocat - Office fédéral de la justice, Unité extraditions</w:t>
      </w:r>
    </w:p>
    <w:p>
      <w:r>
        <w:t>- 8 -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