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RR.2008.306 vom 24. März 2009</w:t>
      </w:r>
    </w:p>
    <w:p>
      <w:r>
        <w:t>Bundesstrafgericht, 2009-03-24, FR</w:t>
      </w:r>
    </w:p>
    <w:p>
      <w:r>
        <w:rPr>
          <w:b/>
        </w:rPr>
        <w:t xml:space="preserve">Quelle: </w:t>
      </w:r>
      <w:r>
        <w:t>https://mcp.opencaselaw.ch/entscheid/bstger_RR.2008.306</w:t>
      </w:r>
    </w:p>
    <w:p>
      <w:r>
        <w:t>FR: TPF RR.2008.306 du 24 mars 2009</w:t>
      </w:r>
    </w:p>
    <w:p>
      <w:r>
        <w:t>IT: TPF RR.2008.306 del 24 marzo 2009</w:t>
      </w:r>
    </w:p>
    <w:p>
      <w:pPr>
        <w:pStyle w:val="Heading2"/>
      </w:pPr>
      <w:r>
        <w:t>Regeste</w:t>
      </w:r>
    </w:p>
    <w:p>
      <w:r>
        <w:t>Entraide judiciaire internationale en matière pénale avec la Belgique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w:t>
      </w:r>
    </w:p>
    <w:p>
      <w:r>
        <w:t>- 3 -</w:t>
      </w:r>
    </w:p>
    <w:p>
      <w:r>
        <w:t>décisions de clôture de la procédure d’entraide rendues par l’autorité can- tonale d’exécution.</w:t>
      </w:r>
    </w:p>
    <w:p>
      <w:r>
        <w:rPr>
          <w:b/>
        </w:rPr>
        <w:t>E. 1.2</w:t>
      </w:r>
    </w:p>
    <w:p>
      <w:r>
        <w:t>L’entraide judiciaire entre le Royaume de Belgique et la Suisse est régie par la Convention européenne d’entraide judiciaire (CEEJ; RS 0.351.1).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TPF RR.2007.178 du 29 novembre 2007, consid. 4.3). Il en découle qu’en vertu des art. 2 ch. 1 et 15 ch. 1 deuxième paragraphe de l’Accord du 26 octobre 2004 entre la Confédération suisse, l’Union euro- 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à la Belgique sont également applicables les art. 48 ss de la Convention d’application de l’Accord Schengen du 14 juin 1985 (ci-après: CAAS) entre les gouvernements des Etats de l’Union éco- nomique Benelux, de la République fédérale d’Allemagne et de la Républi- que française relatif à la suppression graduelle des contrôles aux frontières communes (n° CELEX 42000A0922(02); Journal officiel de l’Union euro- 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d’écritures supplémentaire affé- rent au droit applicable n’a pas été nécessaire.</w:t>
      </w:r>
    </w:p>
    <w:p>
      <w:r>
        <w:rPr>
          <w:b/>
        </w:rPr>
        <w:t>E. 1.5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w:t>
      </w:r>
    </w:p>
    <w:p>
      <w:r>
        <w:t>- 4 -</w:t>
      </w:r>
    </w:p>
    <w:p>
      <w:r>
        <w:t>conventionnelles (art. 1 al. 1 EIMP), ainsi que lorsqu’elles permettent l’octroi de l’entraide à des conditions plus favorables (ATF 130 II 337 consid. 1; 124 II 180 consid. 1a). Le respect des droits fondamentaux est réservé (ATF 123 II 595 consid. 7c p. 617).</w:t>
      </w:r>
    </w:p>
    <w:p>
      <w:r>
        <w:rPr>
          <w:b/>
        </w:rPr>
        <w:t>E. 1.6</w:t>
      </w:r>
    </w:p>
    <w:p>
      <w:r>
        <w:t>En matière d’entraide judiciaire, le recours est ouvert notamment contre la décision de clôture de l’autorité cantonale ou fédérale d’exécution (art. 80e al. 1 EIMP), c’est-à-dire la décision par laquelle l’autorité, estimant avoir traité la demande totalement ou partiellement, statue sur l’octroi et l’étendue de l’entraide (art. 80d EIMP). Le délai de recours est de 30 jours dès la notification de la décision (art. 80k EIMP) et il est en l’occurrence respecté. La recourante, titulaire du compte dont la documentation a été saisie, a qualité pour agir (art. 80h let. b EIMP et 9a let. a OEIMP).</w:t>
      </w:r>
    </w:p>
    <w:p>
      <w:r>
        <w:rPr>
          <w:b/>
        </w:rPr>
        <w:t>E. 2</w:t>
      </w:r>
    </w:p>
    <w:p>
      <w:r>
        <w:t>La recourante invoque le principe de la double incrimination (art. 64 al. 1 EIMP).</w:t>
      </w:r>
    </w:p>
    <w:p>
      <w:r>
        <w:t>La double incrimination est un principe cardinal du droit de l’entraide. Selon ce principe, les mesures visées à l’art. 63 EIMP qui impliquent la contrainte – telle que la remise de dossiers et de documents (art. 63 al. 2 let. c EIMP) – ne peuvent être ordonnées que si l’état de fait exposé dans la demande correspond aux éléments objectifs d’une infraction réprimée par le droit suisse (cf. art. 64 EIMP). En l’occurrence, il ne fait pas de doute qu’il est satisfait à la condition de la double punissabilité. En Belgique, l’enquête est ouverte pour vol au préjudice de l’hérédité. Les faits qui sont poursuivis tombent sous le coup de l’art. 431 du Code pénal belge réprimant le vol (cf. demande d’entraide du 2 septembre 2008 et ses annexes). Le cas de figure visé par l’art. 431 du Code pénal belge correspond à celui réprimé par l’art. 138, éventuellement l’art. 139 CP, comme l’a retenu le Juge d’instruction genevois.</w:t>
      </w:r>
    </w:p>
    <w:p>
      <w:r>
        <w:t>La recourante conteste que les faits décrits soient constitutifs de vol ou d’abus de confiance en droit suisse. En substance, comme les obligations B. lui appartenaient, elles ne peuvent pas avoir été soustraites à feu C. De surcroît, il ne s’agirait pas de choses confiées au sens de l’art. 138 CP. Pour les besoins de sa démonstration, elle se fonde toutefois sur sa propre version des faits, laquelle se trouve contredite par l’autorité requérante, se- lon laquelle les obligations litigieuses auraient été détournées au préjudice des héritiers. La recourante perd toutefois de vue que la double incrimina- tion s’apprécie sur la seule base de l’exposé des faits fournis par l’Etat re- quérant. Or, si les faits présentés par cet Etat devaient s’avérer exacts ou</w:t>
      </w:r>
    </w:p>
    <w:p>
      <w:r>
        <w:t>- 5 -</w:t>
      </w:r>
    </w:p>
    <w:p>
      <w:r>
        <w:t>devaient se voir confirmés, il ne fait pas de doute qu’ils seraient constitutifs soit de vol, ou d’abus de confiance.</w:t>
      </w:r>
    </w:p>
    <w:p>
      <w:r>
        <w:t>Ces considérations conduisent à écarter l’argumentation de la recourante selon laquelle les conditions de ces deux infractions ne sont pas données, ce d’autant qu’il s’agit là d’une argumentation à décharge, irrecevable dans la procédure d’entraide (arrêt du Tribunal fédéral http://links.weblaw.ch/1A.59/20001A.59/2000 du 10 mars 2000, consid. 2b; TPF RR.2007.118 du 30 octobre 2007, consid. 5.1; TPF RR.2007.183 du 21 février 2008, consid. 3; TPF RR.2008.182-184 du 5 décembre 2008, consid. 4).</w:t>
      </w:r>
    </w:p>
    <w:p>
      <w:r>
        <w:rPr>
          <w:b/>
        </w:rPr>
        <w:t>E. 3</w:t>
      </w:r>
    </w:p>
    <w:p>
      <w:r>
        <w:t>Dans un grief subsidiaire, la recourante invoque le principe de la propor- tionnalité.</w:t>
      </w:r>
    </w:p>
    <w:p>
      <w:r>
        <w:rPr>
          <w:b/>
        </w:rPr>
        <w:t>E. 3.1</w:t>
      </w:r>
    </w:p>
    <w:p>
      <w:r>
        <w:t>En vertu du principe de la proportionnalité, l’entraide ne peut être accordée que dans la mesure où elle est nécessaire à la découverte de la vérité re- cherchée par les autorités pénales de l’Etat requérant. La question de sa- voir si les renseignements demandés sont nécessaires ou simplement uti- les à la procédure pénale est en principe laissée à l’appréciation des autori- tés de poursuite de cet Etat. L’Etat requis ne disposant généralement pas des moyens qui lui permettraient de se prononcer sur l’opportunité d’administrer des preuves déterminées au cours de l’instruction menée à l’étranger, il ne saurait substituer, sur ce point, sa propre appréciation à celle des magistrats chargés de cette instruction. La coopération internatio- nale ne peut dès lors être refusée que si les actes requis sont manifeste- ment sans rapport avec l’infraction poursuivie et impropres à faire progres- ser l’enquête, de sorte que la demande apparaît comme un prétexte à la recherche indéterminée de moyens de preuve (examen limité à l’utilité «po- tentielle», ATF 122 II 367 consid. 2c p. 371; 121 II 241 consid. 3a p. 242/243). Le principe de la proportionnalité interdit aussi à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p. 243). Lorsque la demande vise à éclaircir le cheminement de fonds d’origine délictueuse, il convient d’informer l’Etat requérant de toutes les transactions opérées au</w:t>
      </w:r>
    </w:p>
    <w:p>
      <w:r>
        <w:t>- 6 -</w:t>
      </w:r>
    </w:p>
    <w:p>
      <w:r>
        <w:t>nom des sociétés et des comptes impliqués dans l’affaire (v. ATF 121 II 241 consid. 3c p. 244).</w:t>
      </w:r>
    </w:p>
    <w:p>
      <w:r>
        <w:rPr>
          <w:b/>
        </w:rPr>
        <w:t>E. 3.2</w:t>
      </w:r>
    </w:p>
    <w:p>
      <w:r>
        <w:t>La recourante estime que seule devrait être transmise l’identité de la per- sonne ayant déposé les titres sur le compte luxembourgeois, la documen- tation relative au compte du titulaire n’étant pas visée dans la commission rogatoire. On ne peut toutefois retenir cette interprétation. Comme le relève l’OFJ, la demande tend non seulement à déterminer l’identité du déposi- taire des papiers-valeurs en question, mais également à ce que l’autorité d’exécution procède à tout acte d’instruction utile à la manifestation de la vérité. Dans cette perspective, la remise de l’avis de crédit et de vente des titres B. – qui permet de suivre le cheminement des titres – est opportune, tout comme l’est la communication de la documentation d’ouverture du compte qui est propre à déterminer l’identité du supposé voleur. En cela, ces documents paraissent sans l’ombre d’un doute utiles à la procédure belge. L’on ne saurait ainsi considérer que la remise de la documentation visée dans la décision du 10 novembre 2008 heurte le principe de la pro- portionnalité.</w:t>
      </w:r>
    </w:p>
    <w:p>
      <w:r>
        <w:rPr>
          <w:b/>
        </w:rPr>
        <w:t>E. 4</w:t>
      </w:r>
    </w:p>
    <w:p>
      <w:r>
        <w:t>Les frais de la procédure sont mis à la charge de la recourante qui suc- combe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Fr. 4000.--.</w:t>
      </w:r>
    </w:p>
    <w:p>
      <w:r>
        <w:t>- 7 -</w:t>
      </w:r>
    </w:p>
    <w:p>
      <w:r>
        <w:t>Par ces motifs, la IIe Cour des plaintes prononce:</w:t>
      </w:r>
    </w:p>
    <w:p>
      <w:r>
        <w:t>1. Le recours est rejeté.</w:t>
      </w:r>
    </w:p>
    <w:p>
      <w:r>
        <w:t>2. Un émolument de Fr. 4000.--, couvert par l’avance de frais acquittée, est mis à la charge de la recourante.</w:t>
      </w:r>
    </w:p>
    <w:p>
      <w:r>
        <w:t>Bellinzone, le 25 mars 2009</w:t>
      </w:r>
    </w:p>
    <w:p>
      <w:r>
        <w:t>Au nom de la IIe Cour des plaintes du Tribunal pénal fédéral</w:t>
      </w:r>
    </w:p>
    <w:p>
      <w:r>
        <w:t>La présidente: la greffière:</w:t>
      </w:r>
    </w:p>
    <w:p>
      <w:r>
        <w:t>Distribution</w:t>
      </w:r>
    </w:p>
    <w:p>
      <w:r>
        <w:t>- Me Lucien Feniello,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