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RR.2008.295 vom 4. Mai 2009</w:t>
      </w:r>
    </w:p>
    <w:p>
      <w:r>
        <w:t>Bundesstrafgericht, 2009-05-04, FR</w:t>
      </w:r>
    </w:p>
    <w:p>
      <w:r>
        <w:rPr>
          <w:b/>
        </w:rPr>
        <w:t xml:space="preserve">Quelle: </w:t>
      </w:r>
      <w:r>
        <w:t>https://mcp.opencaselaw.ch/entscheid/bstger_RR.2008.295</w:t>
      </w:r>
    </w:p>
    <w:p>
      <w:r>
        <w:t>FR: TPF RR.2008.295 du 4 mai 2009</w:t>
      </w:r>
    </w:p>
    <w:p>
      <w:r>
        <w:t>IT: TPF RR.2008.295 del 4 maggio 2009</w:t>
      </w:r>
    </w:p>
    <w:p>
      <w:pPr>
        <w:pStyle w:val="Heading2"/>
      </w:pPr>
      <w:r>
        <w:t>Regeste</w:t>
      </w:r>
    </w:p>
    <w:p>
      <w:r>
        <w:t>Entraide judiciaire internationale en matière pénale à la France Remise de moyens de preuves (art. 74 EIMP)</w:t>
      </w:r>
    </w:p>
    <w:p>
      <w:pPr>
        <w:pStyle w:val="Heading2"/>
      </w:pPr>
      <w:r>
        <w:t>Erwägungen</w:t>
      </w:r>
    </w:p>
    <w:p>
      <w:r>
        <w:rPr>
          <w:b/>
        </w:rPr>
        <w:t>E. 1</w:t>
      </w:r>
    </w:p>
    <w:p>
      <w:r>
        <w:t>Les recours RR.2008.295 et RR.2008.297 sont formés contre des déci- sions rendues dans la même procédure. Ils soulèvent des griefs identiques. Il se justifie partant de les joindre et de statuer par un seul arrêt (cf. ATF 127 V 29 consid. 1 p. 33, 156 consid. 1 p. 157; 123 II 18 consid. 1 p. 20).</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 rale d’exécution.</w:t>
      </w:r>
    </w:p>
    <w:p>
      <w:r>
        <w:rPr>
          <w:b/>
        </w:rPr>
        <w:t>E. 2.2</w:t>
      </w:r>
    </w:p>
    <w:p>
      <w:r>
        <w:t>La Confédération suisse et la République française sont toutes deux par- ties à la CEEJ, laquelle a été complétée, dans les relations bilatérales, par l’accord du 28 octobre 1996, entré en vigueur le 1er mai 2000 (RS 0.351.934.92). S’agissant d’une demande d’entraide présentée pour la ré- pression du blanchiment d’argent, entre également en considération la Convention relative au blanchiment, au dépistage à la saisie et à la confis- cation des produits du crime (CBl; RS 0.311.53), entrée en vigueur le 11 septembre 1993 pour la Suisse et le 1er février 1997 pour la France.</w:t>
      </w:r>
    </w:p>
    <w:p>
      <w:r>
        <w:t>- 5 -</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deuxième para- graphe de l’Accord du 26 octobre 2004 entre la Confédération suisse, l’Union européenne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à la France sont également applicables les art. 48 ss de la Convention d’application de l’Accord Schen- 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2.4</w:t>
      </w:r>
    </w:p>
    <w:p>
      <w:r>
        <w:t>Dans la mesure où l’entrée en vigueur des dispositions pertinentes de la CAAS ne comporte guère, en l’espèce, de changement substantiel des conditions d’octroi de l’entraide à l’Etat requérant par rapport au droit conventionnel (cf. consid. 2.2), un échange d’écritures supplémentaire affé- rent au droit applicable n’a pas été nécessaire.</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130 II 337 con- sid. 1; 124 II 180 consid. 1a). Le respect des droits fondamentaux est ré- servé (ATF 123 II 595 consid. 7c p. 617).</w:t>
      </w:r>
    </w:p>
    <w:p>
      <w:r>
        <w:rPr>
          <w:b/>
        </w:rPr>
        <w:t>E. 2.6</w:t>
      </w:r>
    </w:p>
    <w:p>
      <w:r>
        <w:t>En matière d’entraide judiciaire, le recours est ouvert notamment contre la décision de clôture de l’autorité cantonale ou fédérale d’exécution (art. 80e al. 1 EIMP), c’est-à-dire la décision par laquelle l’autorité, estimant avoir traité la demande totalement ou partiellement, statue sur l’octroi et l’étendue de l’entraide (art. 80d EIMP). Le délai de recours est de 30 jours dès la notification de la décision (art. 80k EIMP) et il est en l’occurrence respecté. Les recourantes, titulaires des comptes dont la documentation</w:t>
      </w:r>
    </w:p>
    <w:p>
      <w:r>
        <w:t>- 6 -</w:t>
      </w:r>
    </w:p>
    <w:p>
      <w:r>
        <w:t>doit être transmise, ont qualité pour agir (art. 80h let. b EIMP et 9a let. a OEIMP).</w:t>
      </w:r>
    </w:p>
    <w:p>
      <w:r>
        <w:rPr>
          <w:b/>
        </w:rPr>
        <w:t>E. 3</w:t>
      </w:r>
    </w:p>
    <w:p>
      <w:r>
        <w:t>En vertu des art. 14 ch. 2 CEEJ, 27 ch. 1 CBl, 28 al. 2 let. c et 28 al. 3 let. a EIMP, un exposé sommaire des faits doit être fourni ainsi que leur qualifica- tion juridique. Selon la jurisprudence du Tribunal fédéral, on ne saurait tou- tefois exiger de l’Etat requérant un exposé complet et exempt de toute la- cune, car la procédure d’entraide a précisément pour but d’apporter aux autorités de l’Etat requérant des renseignements au sujet des points de- meurés obscurs (ATF 117 Ib 64 consid. 5c p. 88 et les arrêts cités). Les in- dications fournies à ce titre doivent simplement suffire pour vérifier que la demande n’est pas d’emblée inadmissible (ATF 116 Ib 96 consid. 3a p. 101; 115 Ib 68 consid. 3b/aa p. 77; arrêt du Tribunal fédéral 1A.205/2001 du 21 mars 2002, consid. 2.1), soit que l’acte pour lequel l’entraide est de- mandée est punissable selon le droit des parties requérante et requise (art. 5 ch. 1 let. a CEEJ), qu’il ne constitue pas un délit politique ou fiscal (art. 2 let. a CEEJ), et que le principe de proportionnalité est respecté (ATF 118 Ib 111 consid. 5c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5e/aa; 118 Ib 111 consid. 5b).</w:t>
      </w:r>
    </w:p>
    <w:p>
      <w:r>
        <w:rPr>
          <w:b/>
        </w:rPr>
        <w:t>E. 3.1</w:t>
      </w:r>
    </w:p>
    <w:p>
      <w:r>
        <w:t>La pierre angulaire du recours réside dans l’arrêt du Tribunal fédéral 1A.175/2005 qui avait jugé insuffisante la demande d’entraide du 1er octo- bre 2002. La commission rogatoire de 2007 n’aurait pas apporté d’amélioration notable par rapport à celle de 2002. Invoquant l’art. 28 EIMP, les recourantes estiment que la demande d’entraide présente en- core des lacunes sur la question de la nature du crime préalable. A la lec- ture de l’exposé des faits, on ne verrait toujours pas de connexité entre ces faits et les recourantes, entre celles-ci et l’affaire AEROFLOT ou la banque russe SBS AGRO. La société A. reconnaît avoir reçu des fonds du groupe L., mais le lien avec la faillite de la banque précitée ne ressortirait nulle- ment de la commission rogatoire. Ce texte ne contiendrait aucune informa- tion permettant de discerner, même de manière minimale, la provenance criminelle des fonds qui ont transité sur les comptes litigieux – une telle provenance ne serait au reste pas même invoquée. Il ne serait par ailleurs nullement reproché aux recourantes d’être les auteurs des faux contrats de location. En réalité, ce que les autorités françaises qualifient de «faux et usage de faux» procèderait simplement du choix de faire conclure des</w:t>
      </w:r>
    </w:p>
    <w:p>
      <w:r>
        <w:t>- 7 -</w:t>
      </w:r>
    </w:p>
    <w:p>
      <w:r>
        <w:t>baux de location par des sociétés plutôt que par des personnes physiques. Cela était le résultat d’une stratégie afin que les personnes physiques qui occupaient les locaux n’apparussent point. Or, le fait que ces personnes soient différentes des sociétés avec lesquelles la société D. était en relation contractuelle n’est pas punissable en droit suisse. Pour les recourantes, il n’y aurait rien d’anormal à ce qu’une société-mère avance des fonds à ses sociétés-filles afin qu’elles puissent faire face à leurs charges d’entretien, à plus forte raison lorsqu’il s’agit de filiales à 100%. De plus, contrairement à ce qui est prétendu par l’autorité requérante et l’autorité d’exécution, la nouvelle commission rogatoire ne contiendrait pas d’éléments nouveaux par rapport à la première jugée insuffisante par le Tribunal fédéral. En ce qui concerne les déclarations de C. sur le système des fausses locations, la commission rogatoire serait imprécise. Pour tous ces motifs, la demande d’entraide devrait être rejetée. Les recourantes ajoutent enfin que G. a été acquitté du chef de blanchiment d’argent (voir TPF SK.2007.12).</w:t>
      </w:r>
    </w:p>
    <w:p>
      <w:r>
        <w:rPr>
          <w:b/>
        </w:rPr>
        <w:t>E. 3.2</w:t>
      </w:r>
    </w:p>
    <w:p>
      <w:r>
        <w:t>En substance, les recourantes sont d’avis que l’exposé des faits ne permet pas de vérifier la réalisation de la condition de la double incrimination. Sous l’angle du blanchiment d’argent, la nouvelle commission rogatoire serait encore insuffisante. Le lien entre le crime préalable (les détournements de fonds au préjudice d’AEROFLOT, resp. de la banque SBS AGRO) et les acquisitions immobilières sous examen ne serait toujours pas explicité à satisfaction. S’agissant du reproche de faux dans les titres, si, selon le droit français, le fait de se «cacher derrière» des sociétés pourrait être considéré comme une infraction, tel n’est pas le cas en droit suisse. Les recourantes relèvent que les contrats entre la société D. et les sociétés locataires étaient authentiques. Le fait qu’ils aient été signés par des sociétés n’avait pas d’autre finalité que de permettre aux personnes qui occupaient réelle- ment les locaux de ne pas apparaître comme locataires. Cela n’aurait rien d’illégal, et ne tomberait en tout cas pas sous le coup de l’art. 251 CP (faux dans les titres). Il n’y aurait de surcroît rien d’anormal – à en croire les re- courantes, cela semblerait même usuel – qu’une société-mère approvi- sionne financièrement des sociétés affiliées. Concernant la réalité des contrats de location et l’absence de mouvements suspects, les recourantes présentent toutefois une argumentation à dé- charge, argumentation qui n’a pas à être examinée dans le cadre de la présente procédure (cf. ATF 115 Ib 68 consid. 3b/bb, cité par ROBERT ZIM- MERMANN, La coopération judiciaire internationale en matière pénale, 3e éd., Berne 2009, n° 301, note 476), étant aussi rappelé que la double incrimina- tion s’apprécie sur la seule base de l’exposé des faits fournis par l’Etat re- quérant (ZIMMERMANN, op. cit., n° 582). Or, selon la présentation de l’autorité requérante, la société A. – dont l’ayant droit est Boris BERE-</w:t>
      </w:r>
    </w:p>
    <w:p>
      <w:r>
        <w:t>- 8 -</w:t>
      </w:r>
    </w:p>
    <w:p>
      <w:r>
        <w:t>ZOVSKI –, par le biais de la société D., se serait portée acquéreuse de prestigieuses propriétés sur la Côte d’Azur, notamment le Château et le clocher de la Garoupe. Les fonds employés pour le financement de ces ac- quisitions proviendraient d’emprunts accordés par la société B., détentrice à 100% de la société A. Suivant le témoignage de C., confirmé par celui de E., le premier aurait rédigé, à la demande de G., plusieurs faux contrats de location liant la société D. à diverses sociétés dont certaines sont énumé- rées à la page 7 de la commission rogatoire. Ces contrats avaient pour but de donner une apparence licite aux versements qui ont transité sur le compte de la société D. pour qu’elle puisse faire face aux dépenses d’entretien et à d’autres dépenses liées à son patrimoine immobilier (cf. p. 2 s. et 7 de la commission rogatoire). S’agissant des acquisitions litigieu- ses, l’autorité requérante ne se contente pas de faire des spéculations, mais expose que l’examen des comptes des sociétés incriminées fait res- sortir de nombreuses incohérences qui font penser que les prêts n’étaient qu’apparents. S’agissant de la société A., pendant de nombreuses années, la société n’avait pas eu d’activité commerciale et ne réalisait donc aucun chiffre d’affaire. Tous les prêts que lui aurait accordé la société B. l’auraient été sans intérêts, sans garantie effective et avec des échéances si impor- tantes qu’ils ne pouvaient qu’apparaître douteux. Quant à la société B., elle aurait obtenu les fonds de sociétés offshore. Aucune information ne serait toutefois disponible. Au vu de ces explications, l’opinion donnée par les re- courantes selon laquelle il n’y aurait rien d’anormal à ce qu’une société- mère avance des fonds à des sociétés affiliées confine à la naïveté. Comme mentionné au début du paragraphe précédent, la double incrimina- tion s’apprécie sur la seule base de l’exposé des faits fournis par l’Etat re- quérant. Or, l’établissement de contrats portant sur des baux inexistants, en droit suisse, constituerait un faux intellectuel, réprimé par l’art. 251 ch. 1 CP (faux dans les titres).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(ATF 126 IV 65 consid. 2a p. 67). Ainsi, à supposer que les faits de la requête eussent eu lieu en Suisse, ils auraient par conséquent réalisé les éléments objectifs du faux intellectuel.</w:t>
      </w:r>
    </w:p>
    <w:p>
      <w:r>
        <w:rPr>
          <w:b/>
        </w:rPr>
        <w:t>E. 3.3</w:t>
      </w:r>
    </w:p>
    <w:p>
      <w:r>
        <w:t>On relèvera par surabondance qu’au vu de la jurisprudence du Tribunal fé- déral applicable à des demandes d’entraide concernant le blanchiment d’argent que le Tribunal pénal fédéral a rappelé dans un arrêt du 14 août 2008 (RR.2008.69 – 72, consid. 3.3), la Suisse doit pouvoir accorder sa collaboration même lorsque le soupçon de blanchiment est fondé sur la simple existence de transactions suspectes (voir aussi TPF RR.2008.87 du</w:t>
      </w:r>
    </w:p>
    <w:p>
      <w:r>
        <w:t>- 9 -</w:t>
      </w:r>
    </w:p>
    <w:p>
      <w:r>
        <w:t>30 juillet 2008, consid. 5.4 et 5.5, et TPF RR.2008.11 du 3 juillet 2008, consid. 4.6, cités par ZIMMERMANN, op. cit., n° 601, note 370). Or, tel est bien le cas in concreto, comme l’a démontré l’autorité requérante en dres- sant la liste de toutes les transactions effectuées entre 1996 et 2002 pour lesquelles elle nourrit des soupçons. Quand bien même l’autorité requé- rante n’a pas apporté la preuve de la commission des actes de blanchiment ou de l’infraction principale, les indices qu’elle décrit, notamment l’importance des sommes mises en cause lors des transactions, l’utilisation de nombreuses sociétés et de plusieurs comptes répartis dans plusieurs pays, constituent des critères de soupçon de blanchiment (arrêt du Tribunal fédéral 1A.188/2005 du 24 octobre 2005, consid. 2.4; TPF RR.2008.69 du 14 août 2008, consid. 3.3 et références citées). Les indices illustrés par l’autorité requérante paraissent symptomatiques de la volonté des proprié- taires économiques de rendre opaque l’origine des capitaux en multipliant les transferts des fonds sur plusieurs comptes pour des opérations écono- miques et financières peu compréhensibles. Le procédé n’est pas anodin et relève de l’occultation comme élément objectif de l’infraction de blanchi- ment d’argent. Le fait que les transactions aient donné lieu à une dénoncia- tion au TRACFIN qui, à son tour a signalé les faits à l’autorité pénale, té- moigne également du caractère suspect des transactions (cf. p. 2 de la commission rogatoire).</w:t>
      </w:r>
    </w:p>
    <w:p>
      <w:r>
        <w:rPr>
          <w:b/>
        </w:rPr>
        <w:t>E. 3.4</w:t>
      </w:r>
    </w:p>
    <w:p>
      <w:r>
        <w:t>Pour le surplus, les recourantes ne contestent pas que leur comptes sont bien de ceux qui intéressent l’autorité requérante; ils figurent en effet dans la liste figurant dans la commission rogatoire du 30 août 2007. Le rôle que leur titulaire a joué dans le complexe de faits sous enquête est expliqué par l’autorité requérante, de telle sorte qu’il n’y a pas lieu de douter de leur utili- té pour l’enquête étrangère. Le fait que l’autorité requérante peine à expli- quer le lien entre le compte des recourantes, les investissements immobi- liers en France et les «affaires russes» ne saurait faire échec à l’entraide, puisque le sens de la démarche de l’autorité requérante est précisément de découvrir les rouages des mécanismes utilisés.</w:t>
      </w:r>
    </w:p>
    <w:p>
      <w:r>
        <w:rPr>
          <w:b/>
        </w:rPr>
        <w:t>E. 3.5</w:t>
      </w:r>
    </w:p>
    <w:p>
      <w:r>
        <w:t>Les recours sont par conséquent rejetés.</w:t>
      </w:r>
    </w:p>
    <w:p>
      <w:r>
        <w:rPr>
          <w:b/>
        </w:rPr>
        <w:t>E. 4</w:t>
      </w:r>
    </w:p>
    <w:p>
      <w:r>
        <w:t>Les frais de la procédure sont mis à la charge des recourantes qui suc- combent (art. 63 al. 1 PA, applicable par renvoi de l’art. 30 let. b LTPF). L’émolument judiciaire, calculé conformément à l’art. 3 du règlement du 11 février 2004 fixant les émoluments judiciaires perçus par le Tribunal pé- nal fédéral (RS 173.711.32; TPF RR.2007.26 du 9 juillet 2007, consid. 9.1), est fixé en l’espèce à Fr. 10 000.-- (Fr. 5000.-- par recourante). La diffé-</w:t>
      </w:r>
    </w:p>
    <w:p>
      <w:r>
        <w:t>- 10 -</w:t>
      </w:r>
    </w:p>
    <w:p>
      <w:r>
        <w:t>rence, d’un montant de Fr. 2000.--, est restituée aux recourantes, à raison de Fr. 1000.-- par recourante.</w:t>
      </w:r>
    </w:p>
    <w:p>
      <w:r>
        <w:t>- 11 -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