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RR.2008.28 vom 25. März 2008</w:t>
      </w:r>
    </w:p>
    <w:p>
      <w:r>
        <w:t>Bundesstrafgericht, 2008-03-25, FR</w:t>
      </w:r>
    </w:p>
    <w:p>
      <w:r>
        <w:rPr>
          <w:b/>
        </w:rPr>
        <w:t xml:space="preserve">Quelle: </w:t>
      </w:r>
      <w:r>
        <w:t>https://mcp.opencaselaw.ch/entscheid/bstger_RR.2008.28</w:t>
      </w:r>
    </w:p>
    <w:p>
      <w:r>
        <w:t>FR: TPF RR.2008.28 du 25 mars 2008</w:t>
      </w:r>
    </w:p>
    <w:p>
      <w:r>
        <w:t>IT: TPF RR.2008.28 del 25 marzo 2008</w:t>
      </w:r>
    </w:p>
    <w:p>
      <w:pPr>
        <w:pStyle w:val="Heading2"/>
      </w:pPr>
      <w:r>
        <w:t>Regeste</w:t>
      </w:r>
    </w:p>
    <w:p>
      <w:r>
        <w:t>Entraide judiciaire internationale en matière pénale à la France Séquestre d'avoirs bancaires (art. 45 et 47 al. 3 EIMP)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février 2004 fixant les émoluments judiciaires perçus par le Tribunal pé- nal fédéral (RS.173.711.32; TPF RR.2007.26 du 9 juillet 2007, consid. 9.1) et fixé en l’espèce à Fr. 400.--.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