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RR.2008.275 vom 5. Februar 2009</w:t>
      </w:r>
    </w:p>
    <w:p>
      <w:r>
        <w:t>Bundesstrafgericht, 2009-02-05, FR</w:t>
      </w:r>
    </w:p>
    <w:p>
      <w:r>
        <w:rPr>
          <w:b/>
        </w:rPr>
        <w:t xml:space="preserve">Quelle: </w:t>
      </w:r>
      <w:r>
        <w:t>https://mcp.opencaselaw.ch/entscheid/bstger_RR.2008.275</w:t>
      </w:r>
    </w:p>
    <w:p>
      <w:r>
        <w:t>FR: TPF RR.2008.275 du 5 février 2009</w:t>
      </w:r>
    </w:p>
    <w:p>
      <w:r>
        <w:t>IT: TPF RR.2008.275 del 5 febbraio 2009</w:t>
      </w:r>
    </w:p>
    <w:p>
      <w:pPr>
        <w:pStyle w:val="Heading2"/>
      </w:pPr>
      <w:r>
        <w:t>Regeste</w:t>
      </w:r>
    </w:p>
    <w:p>
      <w:r>
        <w:t>Extradition au Royaume-Uni Décision d'extradition (art. 55 EIMP)</w:t>
      </w:r>
    </w:p>
    <w:p>
      <w:pPr>
        <w:pStyle w:val="Heading2"/>
      </w:pPr>
      <w:r>
        <w:t>Erwägungen</w:t>
      </w:r>
    </w:p>
    <w:p>
      <w:r>
        <w:rPr>
          <w:b/>
        </w:rPr>
        <w:t>E. 1.1</w:t>
      </w:r>
    </w:p>
    <w:p>
      <w:r>
        <w:t>En vertu de l’art. 28 al. 1 let. e ch. 1 LTPF, mis en relation avec les art. 55 al. 3 et 25 al. 1 de la loi fédérale sur l’entraide internationale en matière pé- nale du 20 mars 1981 (EIMP; RS 351.1), la Cour des plaintes du Tribunal pénal fédéral est compétente pour connaître des recours en matière d’extradition.</w:t>
      </w:r>
    </w:p>
    <w:p>
      <w:r>
        <w:rPr>
          <w:b/>
        </w:rPr>
        <w:t>E. 1.2</w:t>
      </w:r>
    </w:p>
    <w:p>
      <w:r>
        <w:t>L’extradition entre la Suisse et le Royaume-Uni est régie avant tout par le Traité d'extradition du 26 novembre 1880 (RS 0.353.936.7), entré en vi- gueur le 30 mai 1881, et par la Convention additionnelle du 19 décembre 1934 (RS 0.353.936.71), entrée en vigueur le 7 septembre 1935. Dans ce domaine sont aussi applicables la Convention européenne d’extradition (CEExtr.; RS 0.353.1), entrée en vigueur le 20 mars 1967 pour la Suisse et le 14 mai 1991 pour le Royaume-Uni, et le deuxième Protocole additionnel à la CEExtr. (RS 0.353.12) conclu le 17 mars 1978, entré en vigueur le 9 juin 1985 pour la Suisse et le 6 juin 1994 pour le Royaume-Uni.</w:t>
      </w:r>
    </w:p>
    <w:p>
      <w:r>
        <w:t>- 4 -</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deuxième paragraphe de l’Accord du 26 octobre 2004 entre la Confédération suisse, l’Union européenne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d’extradition avec le Royaume-Uni sont également applicables les art. 59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l’extradition à l’Etat requérant par rapport au droit conventionnel (cf. consid. 1.2),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conventions susmentionnées (ATF 130 II 337 consid. 1 p. 339; 128 II 355 consid. 1 p. 357 et la jurisprudence citée). Le droit interne s’applique en outre lorsqu’il est plus favorable à l’octroi de l’extradition que le droit in- ternational (ATF 122 II 140 consid. 2 et les arrêts cités). Le respect des droits fondamentaux est réservé (ATF 123 II 595 consid. 7c p. 617).</w:t>
      </w:r>
    </w:p>
    <w:p>
      <w:r>
        <w:t>- 5 -</w:t>
      </w:r>
    </w:p>
    <w:p>
      <w:r>
        <w:rPr>
          <w:b/>
        </w:rPr>
        <w:t>E. 1.6</w:t>
      </w:r>
    </w:p>
    <w:p>
      <w:r>
        <w:t>Déposé dans le délai de 30 jours contre une décision d’extradition, le pré- sent recours est interjeté en temps utile (art. 50 al. 1 PA, applicable par renvoi de l’art. 30 let. b LTPF). Le recourant a qualité pour agir (v. art. 21 al. 3 EIMP; ATF 122 II 373 consid. 1b et renvois). Le recours est recevable en la forme.</w:t>
      </w:r>
    </w:p>
    <w:p>
      <w:r>
        <w:rPr>
          <w:b/>
        </w:rPr>
        <w:t>E. 2</w:t>
      </w:r>
    </w:p>
    <w:p>
      <w:r>
        <w:t>Le recourant soutient que c'est à tort que l'OFJ a jugé suffisantes les expli- cations complémentaires fournies par l'autorité britannique compétente quant à la nature non fiscale des infractions pour lesquelles il a été condamné au Royaume-Uni. Il conclut, de ce fait, au refus de l’extradition (v. act. 1, p. 18 et ss).</w:t>
      </w:r>
    </w:p>
    <w:p>
      <w:r>
        <w:rPr>
          <w:b/>
        </w:rPr>
        <w:t>E. 2.1</w:t>
      </w:r>
    </w:p>
    <w:p>
      <w:r>
        <w:t>Selon l'art. 3 al. 3 EIMP, la demande d'entraide est irrecevable si la procé- dure vise un acte qui paraît tendre à diminuer des recettes fiscales ou contrevient à des mesures de politique monétaire, commerciale ou écono- mique. Toutefois, il peut être donné suite à une demande d’entraide au sens de la troisième partie de la loi si la procédure vise une escroquerie en matière fiscale. Le principe de la double incrimination, rappelé aux art. 2 ch. 1 CEExtr. et 35 al. 1 let. a EIMP, commande que les faits, tels qu'ils sont exposés dans la demande d'extradition et, le cas échéant, dans ses compléments, soient punis à la fois par la législation de l'Etat requérant et par celle de l'Etat requis d’une peine privative de liberté ou d’une mesure de sûreté privative de liberté d’un maximum d’au moins un an ou d’une peine plus sévère. L'examen de la punissabilité selon le droit suisse com- prend les éléments constitutifs objectifs et subjectifs de l'infraction, à l'ex- clusion des conditions particulières du droit suisse en matière de culpabilité et de répression (art. 35 al. 2 EIMP; ATF 124 II 184 consid. 4b/cc p. 188; 122 II 422 consid. 2a p. 424; 118 Ib 448 consid. 3a p. 451 et les arrêts ci- tés). Il n'est donc pas nécessaire que les faits incriminés reçoivent, dans les deux législations concernées, la même qualification juridique, qu'ils soient soumis aux mêmes conditions de punissabilité ou qu'ils soient pas- sibles de peines équivalentes. Il suffit qu'ils soient réprimés dans les deux Etats comme des délits donnant lieu ordinairement à la coopération inter- nationale (ATF 117 Ib 337 consid. 4a p. 342; 112 Ib 225 consid. 3c p. 230 et les arrêts cités). Si l'extradition est demandée pour plusieurs infractions, la condition de la double incrimination doit être réalisée pour chacune d'el- les (ATF 125 II 569 consid. 6 p. 575).</w:t>
      </w:r>
    </w:p>
    <w:p>
      <w:r>
        <w:rPr>
          <w:b/>
        </w:rPr>
        <w:t>E. 2.2</w:t>
      </w:r>
    </w:p>
    <w:p>
      <w:r>
        <w:t>En droit suisse, celui qui, sur la base de documents faux, falsifiés ou au contenu inexact, trompe les autorités fiscales sur des faits déterminants pour la taxation fiscale, dans le dessein d'obtenir une taxation fiscale</w:t>
      </w:r>
    </w:p>
    <w:p>
      <w:r>
        <w:t>- 6 -</w:t>
      </w:r>
    </w:p>
    <w:p>
      <w:r>
        <w:t>inexacte qui lui est favorable ou un remboursement indu – comme par exemple la taxe sur la valeur ajoutée – doit être jugé à la lumière du droit pénal fiscal (escroquerie fiscale aux sens des art. 14 al. 2 DPA, 24 al. 1 OEIMP, 3 al. 3 EIMP; ATF 125 II 250 consid. 3). En revanche, celui qui, de son propre gré, prend la décision d'obtenir un enrichissement illégitime pour lui-même ou des tiers, et induit les autorités en erreur en faisant valoir de manière astucieuse des prétentions fictives de remboursement fiscaux de personnes existantes ou inventées et qui, au moyen de titres faux ou vrais, en obtient le paiement effectif, commet une escroquerie de droit commun au sens de l'art. 146 al. 1 CP au préjudice de la communauté concernée (v. TPF 2007 150; arrêt du Tribunal fédéral 1A.233/2004 du 8 novembre 2004, consid. 2.4; ATF 110 IV 24 consid. 2e).</w:t>
      </w:r>
    </w:p>
    <w:p>
      <w:r>
        <w:rPr>
          <w:b/>
        </w:rPr>
        <w:t>E. 2.3</w:t>
      </w:r>
    </w:p>
    <w:p>
      <w:r>
        <w:t>Il ressort de l’exposé des faits à l'appui de la demande d'extradition que le type de fraude perpétré par le recourant et ses complices répond à la quali- fication de la "fraude intracommunautaire à l'opérateur défaillant" ou "fraude carrousel". Phénomène fréquent dans l'Union européenne, la fraude de type carrousel (ou fraude tournante) consiste à effectuer des opérations transfrontalières répétées, d'achats et de ventes, entre pays de la commu- nauté, impliquant une série de sociétés qui se succèdent rapidement. Por- tant généralement sur des marchandises de faible dimension et de valeur importante, comme les composantes informatiques, elle tire avantage du régime d'exemption dont bénéficie le pays d'origine de la marchandise et tend à ce que les sociétés de destination évitent de s'acquitter des taxes, à la faveur d'une chaîne longue et complexe d'opérations mettant à profit un système de fausses factures (arrêt du Tribunal fédéral 1A.78/2002 du 21 mai 2002, consid. 2.3). Selon la jurisprudence constante et la doctrine, la fraude de type carrousel ne constitue pas une escroquerie fiscale au sens de l'art. 14 al. 2 DPA, mais tombe plus généralement sous le coup de l'art. 146 CP (v. TPF 2007 150 consid. 3.3 et 3.5; arrêts TPF RR.2008.188 et RR.2008.189 du 3 novembre 2008, consid. 3.1; cf. aussi ATF 110 IV 24; arrêts du Tribunal fédéral 1A.189/2001 du 22 février 2002, consid. 5; 1A.189/2002 du 28 octobre 2002, consid. 2 et 3; 1A.297/2005 du 13 janvier 2006, consid. 3; ROBERT ZIMMERMANN, La coopération judiciaire internatio- nale en matière pénale, 2ème éd., Berne 2004, n° 411; ALBERTO FAB- BRI/FLAVIO NOTO, Rechtshilfe bei Mehrwertsteuerkarussellen, in Jusletter du 14 janvier 2008).</w:t>
      </w:r>
    </w:p>
    <w:p>
      <w:r>
        <w:rPr>
          <w:b/>
        </w:rPr>
        <w:t>E. 2.4</w:t>
      </w:r>
    </w:p>
    <w:p>
      <w:r>
        <w:t>Le modus operandi dont il est question dans la requête peut être résu- mé ainsi: entre 2000 et 2001, A., avec le concours de complices, a mis sur pied un système complexe d’importation de téléphones mobiles depuis des Etats de l’Union européenne, suivi de ventes successives en Angleterre et</w:t>
      </w:r>
    </w:p>
    <w:p>
      <w:r>
        <w:t>- 7 -</w:t>
      </w:r>
    </w:p>
    <w:p>
      <w:r>
        <w:t>de la réexportation de ces téléphones vers des pays de l’Union euro- péenne. Cette dernière étape était nécessaire pour permettre la réclama- tion de la ristourne de la TVA. En effet, lorsqu’une société britannique ex- porte vers un pays de l’Union européenne, elle ne peut pas facturer la TVA mais elle peut demander à l’administration fiscale britannique la restitution de la totalité de la TVA payée à son fournisseur. Pour perpétrer ses forfaits le recourant s’est servi d’entreprises qu’il contrôlait et qui étaient domici- liées en Angleterre (notamment E., F. et G.) ainsi que dans d’autres pays de l’Union Européenne (H.) société espagnole, I. (société irlandaise). Le système mis en place par l’extradable poursuivait essentiellement le but de créer des situations fictives créant les apparences de droits au rembour- sement de la TVA pour cause de réexportation de téléphones portables vers des pays de l’Union européenne. Induite en erreur par la complexité du système et par de faux documents de facturation, l’administration fiscale britannique a ristourné d’importantes sommes de TVA. Pour le surplus, la requête d’entraide décrit dans le détail les comportements des divers inter- venants, en se référant par ailleurs aux preuves recueillies au cours de l’enquête au Royaume-Uni. Les mécanismes frauduleux utilisés de manière systématique, intensive et planifiée – implication de nombreuses sociétés au Royaume-Uni et à l’étranger, dissolution rapide des structures sociétai- res et réapparition sous une autre forme, utilisation de comptes bancaires extraterritoriaux, etc. – auraient permis au recourant et à ses complices de soustraire au Trésor britannique environ GBP 38'000'000.-.</w:t>
      </w:r>
    </w:p>
    <w:p>
      <w:r>
        <w:t>En droit suisse, ces agissements, dont l’ampleur a été suffisamment dé- montrée par l’Etat requérant, peuvent sans conteste être qualifiés de ma- noeuvres frauduleuses destinées à tromper l’Etat qui, ainsi induit en erreur par des opérations commerciales fictives, admet des créances TVA injusti- fiées. Partant, ces faits sont constitutifs d’escroquerie au sens de l'art. 146 CP.</w:t>
      </w:r>
    </w:p>
    <w:p>
      <w:r>
        <w:rPr>
          <w:b/>
        </w:rPr>
        <w:t>E. 3</w:t>
      </w:r>
    </w:p>
    <w:p>
      <w:r>
        <w:t>Le recourant conteste également la compétence de B. dans la rédaction de l'exposé des faits à la base de la demande d'extradition (v. act. 1, p. 19).</w:t>
      </w:r>
    </w:p>
    <w:p>
      <w:r>
        <w:t>Agent de l'Administration fiscale et douanière du Royaume-Uni, B. a été en charge de l'enquête à l’issue de laquelle le recourant a été condamné à l'étranger. Le résumé des infractions commises par le recourant établi par ce fonctionnaire fait partie intégrante de la demande d'extradition (v. actes 60a et 60b, doc. 3 du dossier relatif à la demande d'extradition). Rien n’indique au dossier que B. n’aurait pas été valablement chargé par les au- torités britanniques de répondre aux questions complémentaires posées</w:t>
      </w:r>
    </w:p>
    <w:p>
      <w:r>
        <w:t>- 8 -</w:t>
      </w:r>
    </w:p>
    <w:p>
      <w:r>
        <w:t>par l'OFJ, questions qui ont permis d'éliminer tout doute quant à la nature non fiscale des infractions reprochées au recourant. Etant donné qu’en rè- gle générale les demandes d'entraide sont rédigées et présentées par des autorités de poursuite étrangères qui ont participé à la procédure, le grief de partialité soulevé par le recourant à l’encontre du fonctionnaire précité apparaît d’emblée sans fondement. En réalité, B. et C., cette dernière étant "Sollicitor" auprès de la Cour suprême d'Angleterre et du Pays de Galles et procureur spécialisé dans le domaine fiscal et douanier, employée par l'Of- fice des poursuites en matière fiscale et douanière (v. actes 60a et 60b, doc. 4 du dossier relatif à la demande d'extradition), n'ont fait que de dé- crire les différentes étapes délictuelles connues par la procédure britanni- que et résumer les faits contenus dans le jugement du 21 décembre 2002, faits pour lesquels le recourant a été condamné. Au vu de ce qui précède, il n’y a pas lieu de douter de l’impartialité de ces fonctionnaires, ce d’autant moins que le recourant a déjà été reconnu coupable par le Tribunal de la Couronne de Birmingham dont rien ne permet de douter de l’impartialité.</w:t>
      </w:r>
    </w:p>
    <w:p>
      <w:r>
        <w:rPr>
          <w:b/>
        </w:rPr>
        <w:t>E. 4</w:t>
      </w:r>
    </w:p>
    <w:p>
      <w:r>
        <w:t>Le recourant critique également l'OFJ pour n'avoir pas exclu l'extradition pour la poursuite des faits relatifs au non paiement du montant figurant dans l'ordonnance de confiscation prononcée à son encontre par l’autorité requérante (v. act. 1, p. 21 et ss).</w:t>
      </w:r>
    </w:p>
    <w:p>
      <w:r>
        <w:t>A la question précise, formulée par l'OFJ, de savoir si l'extradition était aussi demandée pour le non paiement du montant visé par l’ordonnance de confiscation du 3 mars 2005 (v. acte 190 OFJ), l’autorité requérante a ex- pressément répondu que l'extradition "n'est pas demandée au titre du non paiement du montant de l'ordonnance de confiscation rendue à son en- contre ». Elle est néanmoins "demandée, au titre d'une accusation d'éva- sion (…) afin qu'il purge le reste de la peine d'emprisonnement qui lui a été infligée pour l'infraction d'entente délictueuse en vue de frauder le Trésor public" (v. acte 210 OFJ). Cette déclaration est suffisamment claire et apte à dissiper les doutes du recourant. De plus, la décision attaquée prend le soin de mentionner (consid. 5 let. a, acte 243 OFJ) que l’OFJ, en cas d’extradition, indiquera sous la forme de conditions ou de réserves à l’attention de l’autorité requérante, que l’extradé ne pourra pas être condamné à la peine d’emprisonnement de quatre ans dont il est question dans le jugement du 3 mars 2003, ni pour l’évasion du 23 février 2005.</w:t>
      </w:r>
    </w:p>
    <w:p>
      <w:r>
        <w:rPr>
          <w:b/>
        </w:rPr>
        <w:t>E. 5</w:t>
      </w:r>
    </w:p>
    <w:p>
      <w:r>
        <w:t>Selon le recourant, à supposer que l’extradition soit accordée, l’instruction pénale ouverte en Suisse à son encontre du chef de blanchiment devrait en empêcher l’exécution. De ce fait, la procédure d’extradition devrait être</w:t>
      </w:r>
    </w:p>
    <w:p>
      <w:r>
        <w:t>- 9 -</w:t>
      </w:r>
    </w:p>
    <w:p>
      <w:r>
        <w:t>suspendue jusqu'à droit jugé en Suisse. Cette suspension s'imposerait également en raison des procédures supplémentaires ouvertes en Suisse contre lui et sa femme postérieurement à la décision d'extradition de l’OFJ (v. act. 1, p. 26).</w:t>
      </w:r>
    </w:p>
    <w:p>
      <w:r>
        <w:rPr>
          <w:b/>
        </w:rPr>
        <w:t>E. 5.1</w:t>
      </w:r>
    </w:p>
    <w:p>
      <w:r>
        <w:t>L'art. 19 CEExtr. prévoit que la Partie requise peut, après avoir statué sur la demande d’extradition, ajourner la remise de l’individu réclamé pour qu’il puisse être poursuivi par elle ou, s’il a déjà été condamné, pour qu’il puisse purger, sur son territoire, une peine encourue à raison d’un fait autre que celui pour lequel l’extradition est demandée (ch. 1). Au lieu d’ajourner la remise, la Partie requise pourra remettre temporairement à la Partie requé- rante l’individu réclamé dans des conditions à déterminer d’un commun ac- cord entre les Parties (ch. 2). Il est évident qu'un ajournement de la remise, lequel doit être requis par l'autorité chargée de la poursuite en Suisse, ne peut intervenir qu'après la décision d'extradition.</w:t>
      </w:r>
    </w:p>
    <w:p>
      <w:r>
        <w:rPr>
          <w:b/>
        </w:rPr>
        <w:t>E. 5.2</w:t>
      </w:r>
    </w:p>
    <w:p>
      <w:r>
        <w:t>Dans le cas concret, il appartiendra aux autorités suisses de poursuite de demander l'ajournement de la remise aux autorités britanniques, si cela s’avérait nécessaire pour les besoins de la procédure nationale en cours (ROBERT ZIMMERMANN, op. cit., n° 201). Le grief soulevé est donc irreceva- ble.</w:t>
      </w:r>
    </w:p>
    <w:p>
      <w:r>
        <w:rPr>
          <w:b/>
        </w:rPr>
        <w:t>E. 6</w:t>
      </w:r>
    </w:p>
    <w:p>
      <w:r>
        <w:t>Selon le recourant, il n’est pas exclu que sa femme soit condamnée et doive purger une peine en Suisse. Cette éventualité serait contraire aux art. 8 CEDH et 13 Cost. puisque les époux seraient incarcérés chacun dans un Etat différent. Une telle situation violerait également les droits de leurs deux enfants (act. 1, p. 27 et ss).</w:t>
      </w:r>
    </w:p>
    <w:p>
      <w:r>
        <w:rPr>
          <w:b/>
        </w:rPr>
        <w:t>E. 6.1</w:t>
      </w:r>
    </w:p>
    <w:p>
      <w:r>
        <w:t>L’art. 8 CEDH ne confère pas le droit de résider sur le territoire d’un Etat ou de ne pas en être expulsé ou extradé (arrêt du Tribunal fédéral 1A.9/2001 du 16 février 2001, consid. 3c). Toute peine subie compromet les relations familiales et professionnelles; on ne saurait donc invoquer cette consé- quence pour s’opposer à une extradition (ATF 120 Ib 120 consid. 3d). Dans les affaires d’extradition où l’art. 8 CEDH a été invoqué, la Commission eu- ropéenne des droits de l’homme s’est fondée jusqu’ici sur le ch. 2 de cette disposition pour dire que l’atteinte au droit à la protection de la famille était une conséquence inévitable et partant acceptable de l’extradition (ATF 117 Ib 210 consid. 3cc et références citées). Cette disposition peut toutefois faire obstacle à l’extradition lorsque celle-ci apparaît comme une ingérence disproportionnée dans la vie familiale de l'intéressé (ATF 129 II 100 consid. 3.5). Le Tribunal fédéral a ainsi été amené à refuser une extradition</w:t>
      </w:r>
    </w:p>
    <w:p>
      <w:r>
        <w:t>- 10 -</w:t>
      </w:r>
    </w:p>
    <w:p>
      <w:r>
        <w:t>à l'Allemagne, requise pour l'exécution d'un solde de peine de 473 jours d'emprisonnement pour un délit de recel. L'intéressé était père de deux fil- les mineures en Suisse et l'incarcération avait mis sa compagne, invalide à 100% et enceinte d'un troisième enfant, dans un état anxio-dépressif géné- rateur d'idées suicidaires. Dans ces circonstances, la Suisse pouvait se charger de l'exécution sur son territoire du solde de la peine (consid. 3e et 4 non publiés de l'ATF 122 II 485). La Haute Cour fédérale a toutefois eu l'occasion, dans une cause ultérieure, de préciser qu'un tel refus était tout à fait exceptionnel et n'entrait pas en ligne de compte dans d'autres circons- tances (extradition requise pour une poursuite et non une exécution de peine, coauteurs ou complices poursuivis à l'étranger et empêchant un ju- gement en Suisse, circonstances familiales différentes; arrêt du Tribunal fédéral 1A.9/2001 du 16 février 2001, consid. 3c).</w:t>
      </w:r>
    </w:p>
    <w:p>
      <w:r>
        <w:rPr>
          <w:b/>
        </w:rPr>
        <w:t>E. 6.2</w:t>
      </w:r>
    </w:p>
    <w:p>
      <w:r>
        <w:t>En l'espèce, on ne se trouve certainement pas dans un cas de figure ana- logue au susmentionné. Il sied avant tout de relever qu'aucune peine n'a été pour l'instant prononcée contre la femme du recourant dans le cadre de sa poursuite en Suisse. Ensuite, les époux D. ont certes deux enfants, mais l'un est âgé de 21 ans et se trouve en Australie et l'autre est âgé de 17 ans et vit avec sa mère à Z. En définitive, la situation familiale qui ressort du dossier n'est pas problématique et ne permet pas d'affirmer que l'extradi- tion du recourant aurait des conséquences néfastes pour sa famille. Sur ce point, le recours doit donc également être rejeté.</w:t>
      </w:r>
    </w:p>
    <w:p>
      <w:r>
        <w:rPr>
          <w:b/>
        </w:rPr>
        <w:t>E. 7</w:t>
      </w:r>
    </w:p>
    <w:p>
      <w:r>
        <w:t>Au vu de tout ce qui précède, il n'y a pas lieu de refuser l'extradition.</w:t>
      </w:r>
    </w:p>
    <w:p>
      <w:r>
        <w:rPr>
          <w:b/>
        </w:rPr>
        <w:t>E. 8</w:t>
      </w:r>
    </w:p>
    <w:p>
      <w:r>
        <w:t>En matière d’extradition, la détention de la personne à extrader est la règle et une mise en liberté provisoire ne peut intervenir qu’exceptionnellement (ATF 130 II 306 consid. 2.2; 117 IV 359 consid. 2a; 111 IV 108 consid. 2; 109 IV 159; 109 Ib 58 consid. 2, 223 consid. 2c; ROBERT ZIMMERMANN, op. cit., nos 195 et 197; STEFAN HEIMGARTNER, Auslieferungsrecht, thèse, Zu- rich 2002, p. 57). L’élargissement n’est envisageable que s’il apparaît que la personne poursuivie ne se soustraira pas à l’extradition et n’entravera pas l’instruction (art. 47 al. 1 let. a EIMP; ATF 109 IV 159), si un alibi peut être fourni sans délai (art. 47 al. 1 let. b EIMP), si la personne intéressée ne peut subir l’incarcération (art. 47 al. 2 EIMP), si les documents utiles à l’extradition ne sont pas produits à temps (art. 50 al. 1 EIMP) ou encore si l’extradition apparaît manifestement inadmissible (art. 51 EIMP), toutes si- tuations qui doivent être examinées de manière rigoureuse (ATF 130 II 306</w:t>
      </w:r>
    </w:p>
    <w:p>
      <w:r>
        <w:t>- 11 -</w:t>
      </w:r>
    </w:p>
    <w:p>
      <w:r>
        <w:t>consid. 2.2; 111 IV 108 consid. 2 et 3). Or aucune de ces exceptions n’est réalisée en l’espèce, de telle sorte que la détention doit être maintenue.</w:t>
      </w:r>
    </w:p>
    <w:p>
      <w:r>
        <w:rPr>
          <w:b/>
        </w:rPr>
        <w:t>E. 9</w:t>
      </w:r>
    </w:p>
    <w:p>
      <w:r>
        <w:t>Le recourant sollicite d'être mis au bénéfice de l'assistance judiciaire.</w:t>
      </w:r>
    </w:p>
    <w:p>
      <w:r>
        <w:rPr>
          <w:b/>
        </w:rPr>
        <w:t>E. 9.1</w:t>
      </w:r>
    </w:p>
    <w:p>
      <w:r>
        <w:t>La personne poursuivie peut se faire assister d’un mandataire; si elle ne peut ou ne veut y pourvoir et que la sauvegarde de ses intérêts l’exige, un mandataire d’office lui est désigné (art. 21 al. 1 EIMP). Après le dépôt du recours, la partie qui ne dispose pas de ressources suffisantes et dont les conclusions ne paraissent pas d’emblée vouées à l’échec est, à sa de- mande, dispensée par l’autorité de recours, son président ou le juge ins- tructeur de payer les frais de procédure (art. 65 al. 1 PA, applicable par renvoi de l’art. 30 let. b LTPF). L’autorité de recours, son président ou le juge instructeur attribue un avocat à cette partie si la sauvegarde de ses droits le requiert (art. 65 al. 2 PA).</w:t>
      </w:r>
    </w:p>
    <w:p>
      <w:r>
        <w:rPr>
          <w:b/>
        </w:rPr>
        <w:t>E. 9.2</w:t>
      </w:r>
    </w:p>
    <w:p>
      <w:r>
        <w:t>En l'espèce, il y a lieu de constater que, bien qu'étant établi en Suisse de- puis le mois de septembre 2005, le recourant ne paraît avoir possédé au- cun bien ou valeur à son nom, ni avoir été titulaire d'aucun compte bancaire (v. RP.2008.50, act. 3.6). Cela s'expliquerait par le fait que, une partie de son patrimoine ayant déjà été séquestrée et confisquée dans le cadre des procédures britanniques (v. act. 1.13 et 1.14), le reste du patrimoine de la famille D. a été mis au nom de la femme du recourant. Les valeurs en question auraient toutefois toutes été séquestrées par le Juge d'instruction du canton de Vaud, dans le cadre de l'enquête instruite contre le recourant pour blanchiment d'argent (v. RP.2008.50, act. 3.3-3.7). Madame D., qui s'occupe aussi d'une fille mineure étudiante, est actuellement au bénéfice de l'aide sociale (v. RP.2008.50, act. 3.14). Elle fait l'objet, en Suisse, de trois procédures pénales (v. act. 1.35). Le recourant ne dispose donc pas, à présent, de ressources financières et vu que son recours n'était pas d'emblée voué à l'échec, il doit être mis au bénéfice de l'assistance judi- ciaire dans le cadre de la procédure de recours menée devant la Cour de céans. Me Antoine Boesch est désigné en qualité de mandataire d'office de A. dans le cadre de ladite procédure. Ce dernier sera toutefois être tenu, le cas échéant, de rembourser les honoraires et les frais d'avocat dès qu'il se- ra en mesure de s'en acquitter (v. art. 65 al. 4 PA).</w:t>
      </w:r>
    </w:p>
    <w:p>
      <w:r>
        <w:rPr>
          <w:b/>
        </w:rPr>
        <w:t>E. 9.3</w:t>
      </w:r>
    </w:p>
    <w:p>
      <w:r>
        <w:t>Le recourant ayant été mis au bénéfice de l'assistance judiciaire, le présent arrêt est rendu sans frais (art. 65 al. 1 PA, applicable par renvois de l'art. 30 let. b LTPF).</w:t>
      </w:r>
    </w:p>
    <w:p>
      <w:r>
        <w:t>- 12 -</w:t>
      </w:r>
    </w:p>
    <w:p>
      <w:r>
        <w:rPr>
          <w:b/>
        </w:rPr>
        <w:t>E. 9.4</w:t>
      </w:r>
    </w:p>
    <w:p>
      <w:r>
        <w:t>Les frais et honoraires de l’avocat désigné en qualité de mandataire d’office sont supportés par la présente autorité conformément à l’art. 64 al. 2 à 4 PA, applicable par renvoi de l’art. 65 al. 3 PA.</w:t>
      </w:r>
    </w:p>
    <w:p>
      <w:r>
        <w:rPr>
          <w:b/>
        </w:rPr>
        <w:t>E. 9.5</w:t>
      </w:r>
    </w:p>
    <w:p>
      <w:r>
        <w:t>Le défenseur du recourant n’a pas produit de liste des opérations effec- tuées en lien avec la présente cause. Compte tenu du fait que les argu- ments invoqués dans l’acte de recours ont, pour l’essentiel, déjà été formu- lés par-devant l’OFJ (v. act. 1.27), de l’ampleur et la difficulté relatives de la cause, et des limites fixées par le règlement du 26 septembre 2006 sur les dépens et indemnités alloués devant le Tribunal pénal fédéral (RS 173.711.31), l’indemnité est fixée ex aequo et bono à fr. 2000.-- (TVA comprise).</w:t>
      </w:r>
    </w:p>
    <w:p>
      <w:r>
        <w:t>- 13 -</w:t>
      </w:r>
    </w:p>
    <w:p>
      <w:r>
        <w:t>Par ces motifs, la IIe Cour des plaintes prononce:</w:t>
      </w:r>
    </w:p>
    <w:p>
      <w:r>
        <w:t>1. Le recours est rejeté dans la mesure de sa recevabilité.</w:t>
      </w:r>
    </w:p>
    <w:p>
      <w:r>
        <w:t>2. La présente décision est rendue sans frais.</w:t>
      </w:r>
    </w:p>
    <w:p>
      <w:r>
        <w:t>3. A. est mis au bénéfice de l’assistance judiciaire.</w:t>
      </w:r>
    </w:p>
    <w:p>
      <w:r>
        <w:t>4. Me Antoine Boesch est désigné en qualité de mandataire d’office de A.</w:t>
      </w:r>
    </w:p>
    <w:p>
      <w:r>
        <w:t>5. Une indemnité pour frais et honoraires de fr. 2000.-- (TVA comprise) est al- louée à Me Antoine Boesch.</w:t>
      </w:r>
    </w:p>
    <w:p>
      <w:r>
        <w:t>Bellinzone, le 6 février 2009</w:t>
      </w:r>
    </w:p>
    <w:p>
      <w:r>
        <w:t>Au nom de la IIe Cour des plaintes du Tribunal pénal fédéral</w:t>
      </w:r>
    </w:p>
    <w:p>
      <w:r>
        <w:t>La présidente: Le greffier:</w:t>
      </w:r>
    </w:p>
    <w:p>
      <w:r>
        <w:t>Distribution</w:t>
      </w:r>
    </w:p>
    <w:p>
      <w:r>
        <w:t>- Me Antoine Boesch, avocat - Office fédéral de la justice, Unité extraditions</w:t>
      </w:r>
    </w:p>
    <w:p>
      <w:r>
        <w:t>- 14 -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