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RR.2008.274 vom 4. Mai 2009</w:t>
      </w:r>
    </w:p>
    <w:p>
      <w:r>
        <w:t>Bundesstrafgericht, 2009-05-04, IT</w:t>
      </w:r>
    </w:p>
    <w:p>
      <w:r>
        <w:rPr>
          <w:b/>
        </w:rPr>
        <w:t xml:space="preserve">Quelle: </w:t>
      </w:r>
      <w:r>
        <w:t>https://mcp.opencaselaw.ch/entscheid/bstger_RR.2008.274</w:t>
      </w:r>
    </w:p>
    <w:p>
      <w:r>
        <w:t>FR: TPF RR.2008.274 du 4 mai 2009</w:t>
      </w:r>
    </w:p>
    <w:p>
      <w:r>
        <w:t>IT: TPF RR.2008.274 del 4 maggio 2009</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assi- stenza giudiziaria internazionale compete alla II Corte dei reclami penali.</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Allo scopo di completare e agevolare l’applicazione di questa convenzione multilaterale, Italia e Svizzera hanno altresì concluso un Accordo completivo del 10 settembre 1998 (RS 0.351.945.41), entrato in vigore mediante scambio di note il 1° giugno 2003 (in seguito: l'Accordo italo-svizzero). Di rilievo nella fattispecie è anche la Convenzione sul rici- claggio, la ricerca, il sequestro e la confisca dei proventi di reato, conclusa a Strasburgo l’8 novembre 1990, entrata in vigore il 1° settembre 1993 per la Svizzera ed il 1° maggio 1994 per l’Italia (RS 0.311.53).</w:t>
      </w:r>
    </w:p>
    <w:p>
      <w:r>
        <w:rPr>
          <w:b/>
        </w:rPr>
        <w:t>E. 1.3</w:t>
      </w:r>
    </w:p>
    <w:p>
      <w:r>
        <w:t>Il 27 novembre 2008 il Consiglio dell’Unione europea ha deciso la piena applicazione degli accordi d'associazione della Svizzera a Schengen e Du- blino a partire dal 12 dicembre 2008 (Gazzetta ufficiale dell’Unione euro- pea, L 327/15-17, del 5 dicembre 2008). Secondo costante giurisprudenza, in materia di assistenza giudiziaria internazionale si applica il diritto in vigo- re al momento della decisione. Il carattere amministrativo della procedura d’assistenza esclude infatti l’applicabilità del principio di non retroattività (DTF 122 II 422 consid. 2a; 112 Ib 576 consid. 2; 109 Ib 62 consid. 2a, 157 consid. 3b; sentenza del Tribunale federale 1A.96/2003 del 25 giugno</w:t>
      </w:r>
    </w:p>
    <w:p>
      <w:r>
        <w:t>- 4 -</w:t>
      </w:r>
    </w:p>
    <w:p>
      <w:r>
        <w:t>2003, consid. 2.2; sentenza TPF RR.2007.178 del 29 novembre 2007, con- sid. 4.3). Ne consegue che in virtù degli art. 2 n. 1 e 15 n. 1 dell’Accordo del 26 ottobre 2004 tra la Confederazione Svizzera, l’Unione europea e la Comunità europea, riguardante l’associazione della Svizzera all’attuazione, all’applicazione e allo sviluppo dell’acquis di Schengen (RS 0.360.268.1), nelle relazioni di cooperazione in materia penale con l’Italia sono applicabili anche gli art. 59 e segg. (in materia di estradizione) nonché 48 e segg. (in materia di altra assistenza) della Convenzione di applicazione degli Accordi di Schengen del 14 giugno 1985 (CAAS) tra i governi degli Stati dell’Unione economica Benelux, della Repubblica federale di Germania e della Repub- blica francese relativi all’eliminazione graduale dei controlli alle frontiere comuni (n. CELEX 42000A0922(02); Gazzetta ufficiale L 239/19-62 del 22 settembre 2000).</w:t>
      </w:r>
    </w:p>
    <w:p>
      <w:r>
        <w:t>Nella misura in cui la sopravveniente entrata in vigore delle pertinenti di- sposizioni del CAAS non comporta nel caso concreto un sostanziale cam- biamento delle condizioni di concessione dell’assistenza allo Stato estero, rispetto al diritto convenzionale di cui al consid. 1.2, non si è reso necessa- rio un ulteriore scambio di scritti sul diritto applicabile.</w:t>
      </w:r>
    </w:p>
    <w:p>
      <w:r>
        <w:rPr>
          <w:b/>
        </w:rPr>
        <w:t>E. 1.4</w:t>
      </w:r>
    </w:p>
    <w:p>
      <w:r>
        <w:t>Alle questioni che il prevalente diritto internazionale contenuto in detti trat- tati non regola espressamente o implicitamente, come pure quando il diritto nazionale sia più favorevole all'assistenza rispetto a quello pattizio, si appli- cano la legge federale sull'assistenza internazionale in materia penale del 20 marzo 1981 (AIMP; RS 351.1), unitamente alla relativa ordinanza (OAIMP; RS 351.11; v. art. 1 cpv. 1 AIMP, art. I n. 2 dell'Accordo italo- svizzero; DTF 124 II 180 consid. 1a; 123 II 134 consid. 1a; 122 II 140 consid. 2). È fatto salvo il rispetto dei diritti fondamentali (DTF 123 II 595 consid. 7c, con rinvii dottrinali).</w:t>
      </w:r>
    </w:p>
    <w:p>
      <w:r>
        <w:rPr>
          <w:b/>
        </w:rPr>
        <w:t>E. 1.5</w:t>
      </w:r>
    </w:p>
    <w:p>
      <w:r>
        <w:t>Il ricorso è stato tempestivamente interposto contro una decisione di con- segna di mezzi di prova secondo l’art. 74 AIMP, resa dall’autorità federale di esecuzione. I requisiti di ammissibilità di cui agli art. 80k, così come 80e cpv. 1 in relazione con l’art. 25 AIMP, sono pacificamente dati.</w:t>
      </w:r>
    </w:p>
    <w:p>
      <w:r>
        <w:rPr>
          <w:b/>
        </w:rPr>
        <w:t>E. 1.6</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w:t>
      </w:r>
    </w:p>
    <w:p>
      <w:r>
        <w:t>- 5 -</w:t>
      </w:r>
    </w:p>
    <w:p>
      <w:r>
        <w:t>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 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personal- mente e direttamente toccato il titolare del conto (v. art. 9a lett. a OAIMP; DTF 118 Ib 547 consid. 1d), così come nelle perquisizioni domiciliari questa qualità spetta al proprietario o al locatario (v. art. 9a lett. b OAIMP), rispetti- vamente nell’ambito di misure concernenti un veicolo a motore al detentore dello stesso (v. art. 9a lett. c OAIMP). In via giurisprudenziale è stato altresì precisato che la legittimazione a ricorrere compete alla persona direttamen- te sottoposta a una misura coercitiva (perquisizione, sequestro o interroga- torio; DTF 130 II 162 consid. 1.1; 128 II 211 consid. 2.3; 127 II 198 con- sid. 2d; 126 II 258 consid. 2d; 124 II 180 consid. 1b), mentre gli interessati toccati solo in maniera indiretta, come ad esempio il mero avente diritto economico di un conto bancario, non possono impugnare tali provvedimenti (DTF 122 II 130 consid. 2b e rinvii). Per lo stesso motivo, nel caso di do- cumenti in possesso di terzi, soltanto questi ultimi in quanto loro possessori possono contestare il sequestro degli stessi, anche se i documenti in que- stione concernono un’altra persona contro la quale è pendente un proce- dimento penale estero (DTF 123 II 161 consid. 1d; 116 Ib 106 consid. 2a; TPF 2007 79 consid. 1.6). Secondo la giurisprudenza, questo vale pari- menti nel caso di documentazione bancaria detenuta da un avvocato o da una fiduciaria in ragione di un mandato (sentenza del Tribunale federale 1A.293/2004 del 18 marzo 2005, consid. 2.3; TPF RR.2007.101 del 12 lu- glio 2007, consid. 2.1). Il Tribunale federale ha altresì affermato che una banca non è legittimata a ricorrere contro la trasmissione di documenti rela- tivi a conti di suoi clienti, nella misura in cui tali documenti non contengono nulla sulla gestione degli affari propri della banca (v. DTF 128 II 211 con- sid. 2.2 p. 216-217). Per documenti quali quelli relativi all'apertura del con- to, gli estratti conto, gli avvisi di addebito e di accredito oppure ancora la corrispondenza in merito fra cliente e banca, si tratta palesemente di atti re-</w:t>
      </w:r>
    </w:p>
    <w:p>
      <w:r>
        <w:t>- 6 -</w:t>
      </w:r>
    </w:p>
    <w:p>
      <w:r>
        <w:t>lativi esclusivamente alla sfera privata del titolare del conto, motivo per cui soltanto quest'ultimo – e non la banca – è legittimato a ricorrere contro una decisione di consegna di simile documentazione.</w:t>
      </w:r>
    </w:p>
    <w:p>
      <w:r>
        <w:t>Nella fattispecie, il documento n. 4 contiene uno scambio di messaggi di posta elettronica tra F. ed un cliente della banca A. concernente operazioni di cambio risalente al mese di ottobre 2004, periodo durante il quale il pri- mo era ancora attivo presso tale banca in qualità di direttore sostituto. Si tratta all'evidenza di un documento relativo alla sfera privata di un cliente della banca, ragione per cui la ricorrente non risulta legittimata a ricorrere. Alla medesima conclusione è d'uopo giungere per quanto riguarda il docu- mento n. 7, nella misura in cui esso contiene un indirizzo di posta elettroni- ca privato nonché codici d'accesso informatici di pertinenza di F.; essi non sono dunque legati ad interessi propri della banca.</w:t>
      </w:r>
    </w:p>
    <w:p>
      <w:r>
        <w:rPr>
          <w:b/>
        </w:rPr>
        <w:t>E. 2</w:t>
      </w:r>
    </w:p>
    <w:p>
      <w:r>
        <w:t>Discende da quanto precede che il ricorso deve essere dichiarato inam- missibile. Le spese seguono la soccombenza (v. art. 63 cpv. 1 PA richia- mato l’art. 30 lett. b LTPF). La competenza del Tribunale penale federale di disciplinare i dettagli relativi alla determinazione delle tasse di giustizia si fonda sull’art. 15 cpv. 1 lett. a LTPF e sulla relativa giurisprudenza (v. sen- tenze TPF RR.2007.17 del 30 aprile 2007, consid. 2; RR.2007.6 del 22 febbraio 2007, consid. 5; RR.2007.31 del 21 marzo 2007, consid. 4). La tassa di giustizia è calcolata conformemente all’art. 3 del Regolamento sul- le tasse di giustizia del Tribunale penale federale (RS 173.711.32) ed è fis- sata nella fattispecie a fr. 5'000.-.</w:t>
      </w:r>
    </w:p>
    <w:p>
      <w:r>
        <w:t>- 7 -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