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RR.2008.270 vom 5. Dezember 2008</w:t>
      </w:r>
    </w:p>
    <w:p>
      <w:r>
        <w:t>Bundesstrafgericht, 2008-12-05, FR</w:t>
      </w:r>
    </w:p>
    <w:p>
      <w:r>
        <w:rPr>
          <w:b/>
        </w:rPr>
        <w:t xml:space="preserve">Quelle: </w:t>
      </w:r>
      <w:r>
        <w:t>https://mcp.opencaselaw.ch/entscheid/bstger_RR.2008.270</w:t>
      </w:r>
    </w:p>
    <w:p>
      <w:r>
        <w:t>FR: TPF RR.2008.270 du 5 décembre 2008</w:t>
      </w:r>
    </w:p>
    <w:p>
      <w:r>
        <w:t>IT: TPF RR.2008.270 del 5 dicembre 2008</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les Pays-Bas et la Confédération est régie par la Convention européenne d’entraide judiciaire en matière pénale (CEEJ; 0.351.1), entrée en vigueur pour la Suisse le 20 mars 1967 et pour les Pays-Bas le 15 mai 1969. Peut également s'appliquer en l'occurrence la Convention européenne relative au blanchiment, au dépistage, à la saisie et à la confiscation des produits du crime (CBl; RS 0.311.53), entrée en vi- gueur le 1er septembre 1993 pour la Suisse ainsi que pour l'Etat requérant. Les dispositions de ces traités l'emportent sur le droit interne régissant la matière, soit l'EIMP et son ordonnance d'exécution (OEIMP; RS 351.11), qui sont applicables aux questions non réglées, explicitement ou implicite- ment, par le droit conventionnel, et lorsque le droit interne est plus favora-</w:t>
      </w:r>
    </w:p>
    <w:p>
      <w:r>
        <w:t>- 4 -</w:t>
      </w:r>
    </w:p>
    <w:p>
      <w:r>
        <w:t>ble à l'entraide que les traités (ATF 129 II 462 consid. 1.1 p. 464; 123 II 134 consid. 1a p. 136; 122 II 140 consid. 2 p. 142 et les arrêts cités). Le respect des droits fondamentaux est réservé (ATF 123 II 595 consid. 7c p. 617).</w:t>
      </w:r>
    </w:p>
    <w:p>
      <w:r>
        <w:rPr>
          <w:b/>
        </w:rPr>
        <w:t>E. 1.3</w:t>
      </w:r>
    </w:p>
    <w:p>
      <w:r>
        <w:t>La qualité pour agir contre une mesure d'entraide judiciaire est reconnue à celui qui est touché personnellement et directement et a un intérêt digne de protection à ce qu’elle soit annulée ou modifiée (art. 80h let. b EIMP). La personne visée par la procédure pénale étrangère peut recourir aux mê- mes conditions (art. 21 al. 3 EIMP). Aux termes de l’art. 9a OIMP, est no- tamment réputé personnellement et directement touché au sens de ces dispositions le titulaire d'un compte bancaire dont les pièces sont saisies (let. a) et le propriétaire ou le locataire qui doit se soumettre personnelle- ment à une perquisition ou à une saisie (let. b; ATF 118 Ib 442 consid. 2c, concernant la saisie de documents en mains d'une banque; ATF 121 II 38, concernant la remise du dossier d'une procédure civile à laquelle l'intéressé est partie). La jurisprudence constante dénie en revanche cette qualité au détenteur économique d'un compte bancaire visé par la demande, ou à l'auteur de documents saisis en mains d'un tiers, même si la transmission des renseignements requis entraîne la révélation de son identité (ATF 130 II 162 consid. 1.1; 128 II 211 consid. 2.3; 122 II 130 consid. 2b).</w:t>
      </w:r>
    </w:p>
    <w:p>
      <w:r>
        <w:t>La lettre du 31 juillet 2008 de la banque G. et ses annexes (v. supra let. C) se rapportent au compte n° 2, soit un compte de passage interne détenu par la banque G. à Genève. Les informations contenues dans ces docu- ments étaient stockées physiquement à Genève, ou accessibles dans un système informatique sis à Genève, en relation avec le compte interne n°</w:t>
      </w:r>
    </w:p>
    <w:p>
      <w:r>
        <w:rPr>
          <w:b/>
        </w:rPr>
        <w:t>E. 2</w:t>
      </w:r>
    </w:p>
    <w:p>
      <w:r>
        <w:t>Le recours étant d’emblée irrecevable, la Cour de céans a renoncé à pro- céder à un échange d’écritures (art. 57 al. 1 PA a contrario).</w:t>
      </w:r>
    </w:p>
    <w:p>
      <w:r>
        <w:rPr>
          <w:b/>
        </w:rPr>
        <w:t>E. 3</w:t>
      </w:r>
    </w:p>
    <w:p>
      <w:r>
        <w:t>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2’500.--, couvert par l’avance de frais de Fr. 5'000.-- déjà ver- sée. Une réduction doit en effet être opérée afin de tenir compte du fait que le recours est déclaré irrecevable, sans que la Cour n’ait à se pencher sur le fond. Le solde de l’avance effectuée par la recourante, soit Fr. 2'500.--, lui sera par conséquent restitué.</w:t>
      </w:r>
    </w:p>
    <w:p>
      <w:r>
        <w:t>- 6 -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