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RR.2008.267 vom 4. November 2008</w:t>
      </w:r>
    </w:p>
    <w:p>
      <w:r>
        <w:t>Bundesstrafgericht, 2008-11-04, DE</w:t>
      </w:r>
    </w:p>
    <w:p>
      <w:r>
        <w:rPr>
          <w:b/>
        </w:rPr>
        <w:t xml:space="preserve">Quelle: </w:t>
      </w:r>
      <w:r>
        <w:t>https://mcp.opencaselaw.ch/entscheid/bstger_RR.2008.267</w:t>
      </w:r>
    </w:p>
    <w:p>
      <w:r>
        <w:t>FR: TPF RR.2008.267 du 4 novembre 2008</w:t>
      </w:r>
    </w:p>
    <w:p>
      <w:r>
        <w:t>IT: TPF RR.2008.267 del 4 novembre 2008</w:t>
      </w:r>
    </w:p>
    <w:p>
      <w:pPr>
        <w:pStyle w:val="Heading2"/>
      </w:pPr>
      <w:r>
        <w:t>Regeste</w:t>
      </w:r>
    </w:p>
    <w:p>
      <w:r>
        <w:t>Internationale Rechtshilfe in Strafsachen an Deutschland Herausgabe von Beweismitteln (Art. 74 IRSG)</w:t>
      </w:r>
    </w:p>
    <w:p>
      <w:pPr>
        <w:pStyle w:val="Heading2"/>
      </w:pPr>
      <w:r>
        <w:t>Erwägungen</w:t>
      </w:r>
    </w:p>
    <w:p>
      <w:r>
        <w:rPr>
          <w:b/>
        </w:rPr>
        <w:t>E. 10</w:t>
      </w:r>
    </w:p>
    <w:p>
      <w:r>
        <w:t>Oktober 2007); es sich vorliegend jedoch rechtfertigt, auf die Erhebung einer Gerichtsgebühr zu verzichten (Art. 63 Abs. 1 Satz 3 VwVG i.V.m. Art. 30 lit. b SGG);</w:t>
      </w:r>
    </w:p>
    <w:p>
      <w:r>
        <w:t>- 3 -</w:t>
      </w:r>
    </w:p>
    <w:p>
      <w:r>
        <w:t>- eine Partei, die im Ausland wohnt, gemäss Art. 80m lit. b IRSG i.V.m. Art. 9 IRSV ein Zustelldomizil in der Schweiz bezeichnen muss, ansonsten die Zustellung unterbleiben kann; - der Beschwerdeführer der Aufforderung vom 20. Oktober 2008 nach der Bezeichnung eines Zustelldomizils in der Schweiz nicht nachgekommen ist, weshalb dieser Entscheid ihm androhungsgemäss nicht formell eröffnet wird und die Zustellung an den Beschwerdeführer anstelle dessen ad acta erfolgt.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